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12262" w14:textId="77777777" w:rsidR="00E1280E" w:rsidRDefault="00E82109" w:rsidP="00E82109">
      <w:pPr>
        <w:rPr>
          <w:b/>
        </w:rPr>
      </w:pPr>
      <w:r w:rsidRPr="00AF0626">
        <w:rPr>
          <w:b/>
        </w:rPr>
        <w:t xml:space="preserve">Vectis </w:t>
      </w:r>
      <w:r w:rsidR="00E1280E">
        <w:rPr>
          <w:b/>
        </w:rPr>
        <w:t>Housing Association Limited</w:t>
      </w:r>
    </w:p>
    <w:p w14:paraId="53110887" w14:textId="48B881EA" w:rsidR="00E1280E" w:rsidRDefault="00E1280E" w:rsidP="00E82109">
      <w:pPr>
        <w:rPr>
          <w:b/>
        </w:rPr>
      </w:pPr>
      <w:r>
        <w:rPr>
          <w:b/>
        </w:rPr>
        <w:t>Financial Year Ending 31 March 201</w:t>
      </w:r>
      <w:r w:rsidR="004A484F">
        <w:rPr>
          <w:b/>
        </w:rPr>
        <w:t>9</w:t>
      </w:r>
    </w:p>
    <w:p w14:paraId="4F8117DB" w14:textId="26F5C6CF" w:rsidR="00E82109" w:rsidRPr="00AF0626" w:rsidRDefault="00E82109" w:rsidP="00E82109">
      <w:pPr>
        <w:rPr>
          <w:b/>
        </w:rPr>
      </w:pPr>
      <w:r w:rsidRPr="00AF0626">
        <w:rPr>
          <w:b/>
        </w:rPr>
        <w:t>Value for Money Statement</w:t>
      </w:r>
      <w:r w:rsidR="00124D82">
        <w:rPr>
          <w:b/>
        </w:rPr>
        <w:t xml:space="preserve"> </w:t>
      </w:r>
      <w:r w:rsidR="00725B55">
        <w:rPr>
          <w:b/>
        </w:rPr>
        <w:t>201</w:t>
      </w:r>
      <w:r w:rsidR="004A484F">
        <w:rPr>
          <w:b/>
        </w:rPr>
        <w:t>9</w:t>
      </w:r>
      <w:r w:rsidR="00725B55">
        <w:rPr>
          <w:b/>
        </w:rPr>
        <w:t xml:space="preserve"> </w:t>
      </w:r>
    </w:p>
    <w:p w14:paraId="397661F6" w14:textId="0410AD16" w:rsidR="004A484F" w:rsidRDefault="004A484F" w:rsidP="00E82109">
      <w:pPr>
        <w:jc w:val="both"/>
      </w:pPr>
      <w:r>
        <w:t xml:space="preserve">VHA is an ambitious community-based housing association which seeks to deliver high quality services and provide new homes for households on the Isle of Wight.  To achieve this, significant levels of investment are needed which must be funded through rental income coupled with capital grants.  Maintaining </w:t>
      </w:r>
      <w:r w:rsidR="00E82109" w:rsidRPr="000A3EBF">
        <w:t>Value for Money (</w:t>
      </w:r>
      <w:proofErr w:type="spellStart"/>
      <w:r w:rsidR="00E82109" w:rsidRPr="000A3EBF">
        <w:t>VfM</w:t>
      </w:r>
      <w:proofErr w:type="spellEnd"/>
      <w:r w:rsidR="00E82109" w:rsidRPr="000A3EBF">
        <w:t xml:space="preserve">) </w:t>
      </w:r>
      <w:r w:rsidR="00077DCC">
        <w:t xml:space="preserve">and achieving high rates of Return on Investment (ROI) </w:t>
      </w:r>
      <w:r w:rsidR="00E82109" w:rsidRPr="000A3EBF">
        <w:t xml:space="preserve">is </w:t>
      </w:r>
      <w:r>
        <w:t xml:space="preserve">therefore </w:t>
      </w:r>
      <w:r w:rsidR="00E82109" w:rsidRPr="000A3EBF">
        <w:t xml:space="preserve">central to delivering </w:t>
      </w:r>
      <w:r w:rsidR="00E82109">
        <w:t>our mission</w:t>
      </w:r>
      <w:r w:rsidR="00E82109" w:rsidRPr="000A3EBF">
        <w:t xml:space="preserve">, </w:t>
      </w:r>
      <w:r w:rsidR="00E82109">
        <w:t>values and Business Strategy.</w:t>
      </w:r>
      <w:r w:rsidR="00E82109" w:rsidRPr="000A3EBF">
        <w:t xml:space="preserve"> </w:t>
      </w:r>
      <w:r w:rsidR="00E82109">
        <w:t xml:space="preserve"> </w:t>
      </w:r>
      <w:r w:rsidR="00E82109" w:rsidRPr="000A3EBF">
        <w:t xml:space="preserve"> </w:t>
      </w:r>
    </w:p>
    <w:p w14:paraId="14D23DF3" w14:textId="5A87769B" w:rsidR="00D52977" w:rsidRDefault="004A484F" w:rsidP="00E82109">
      <w:pPr>
        <w:jc w:val="both"/>
      </w:pPr>
      <w:r>
        <w:t xml:space="preserve">Having successfully balanced a programme of growth and organisational </w:t>
      </w:r>
      <w:r w:rsidR="00D52977">
        <w:t xml:space="preserve">investment </w:t>
      </w:r>
      <w:r w:rsidR="00D52977">
        <w:t>for the four years</w:t>
      </w:r>
      <w:r w:rsidR="00B0741C">
        <w:t xml:space="preserve"> of rent reduction </w:t>
      </w:r>
      <w:r w:rsidR="00D52977">
        <w:t>to 2020</w:t>
      </w:r>
      <w:r w:rsidR="00D52977">
        <w:t xml:space="preserve"> we can demonstrate a track record of delivering </w:t>
      </w:r>
      <w:proofErr w:type="spellStart"/>
      <w:r w:rsidR="00D52977">
        <w:t>VfM</w:t>
      </w:r>
      <w:proofErr w:type="spellEnd"/>
      <w:r w:rsidR="00D52977">
        <w:t xml:space="preserve">.  During this period, we have increased stock numbers and maintained and improved quality and satisfaction while seeing a reduction in rental income. </w:t>
      </w:r>
    </w:p>
    <w:p w14:paraId="5D669DDF" w14:textId="3DCAE3D1" w:rsidR="00D52977" w:rsidRDefault="001256D4" w:rsidP="00E82109">
      <w:pPr>
        <w:jc w:val="both"/>
      </w:pPr>
      <w:r>
        <w:t>We have achieved this in challenging circumstances</w:t>
      </w:r>
      <w:r w:rsidR="00BB7B5C">
        <w:t xml:space="preserve">.  Not only have we had to reduce rents, but also contend with </w:t>
      </w:r>
      <w:r>
        <w:t xml:space="preserve">labour and material costs increasing, a relatively limited market for driving competition on the Island and an increased level of housing and financial need among Island households.  It has </w:t>
      </w:r>
      <w:r w:rsidR="00BB7B5C">
        <w:t xml:space="preserve">also </w:t>
      </w:r>
      <w:r>
        <w:t>been increasingly difficult to attract external funding for our community activities due to the intense competition nationally for these funds.</w:t>
      </w:r>
    </w:p>
    <w:p w14:paraId="5F5E6D47" w14:textId="52B29631" w:rsidR="00E82154" w:rsidRDefault="001256D4" w:rsidP="00E82109">
      <w:pPr>
        <w:jc w:val="both"/>
      </w:pPr>
      <w:r>
        <w:t xml:space="preserve">We recognise that </w:t>
      </w:r>
      <w:proofErr w:type="spellStart"/>
      <w:r w:rsidR="005879D8">
        <w:t>VfM</w:t>
      </w:r>
      <w:proofErr w:type="spellEnd"/>
      <w:r w:rsidR="005879D8" w:rsidRPr="00D90F8A">
        <w:t xml:space="preserve"> is not just about saving money</w:t>
      </w:r>
      <w:r w:rsidR="005879D8">
        <w:t>. While we consistently aim to</w:t>
      </w:r>
      <w:r w:rsidR="005879D8" w:rsidRPr="00D90F8A">
        <w:t xml:space="preserve"> get the most out</w:t>
      </w:r>
      <w:r w:rsidR="005879D8">
        <w:t xml:space="preserve"> of what we spend, we </w:t>
      </w:r>
      <w:r w:rsidR="005879D8" w:rsidRPr="00D90F8A">
        <w:t xml:space="preserve">also look </w:t>
      </w:r>
      <w:r w:rsidR="005879D8">
        <w:t>for</w:t>
      </w:r>
      <w:r w:rsidR="005879D8" w:rsidRPr="00D90F8A">
        <w:t xml:space="preserve"> qualitative improvements, for example increasing/improving services with no </w:t>
      </w:r>
      <w:r w:rsidR="005879D8">
        <w:t>increase in cost</w:t>
      </w:r>
      <w:r w:rsidR="005879D8" w:rsidRPr="00D90F8A">
        <w:t>.</w:t>
      </w:r>
      <w:r w:rsidR="005879D8">
        <w:t xml:space="preserve"> </w:t>
      </w:r>
      <w:r w:rsidR="005879D8" w:rsidRPr="00D90F8A">
        <w:t xml:space="preserve"> </w:t>
      </w:r>
      <w:r>
        <w:t xml:space="preserve">This is often as much about how we approach service delivery as much as what we spend.  We have a passionate and committed workforce </w:t>
      </w:r>
      <w:r w:rsidR="00E82154">
        <w:t xml:space="preserve">who </w:t>
      </w:r>
      <w:r w:rsidR="00E82154">
        <w:t xml:space="preserve">look </w:t>
      </w:r>
      <w:r w:rsidR="00E82154">
        <w:t>consistently to deliver the best outcomes within the resources they have.  This is evidenced in the rise in tenant satisfaction with overall services from 92% in 2015 to 98% in 2017.</w:t>
      </w:r>
    </w:p>
    <w:p w14:paraId="7DD08E0A" w14:textId="1704F5FA" w:rsidR="00E82109" w:rsidRDefault="00E82109" w:rsidP="00E82109">
      <w:pPr>
        <w:jc w:val="both"/>
      </w:pPr>
      <w:r>
        <w:t>Achieving value</w:t>
      </w:r>
      <w:r w:rsidRPr="00D90F8A">
        <w:t xml:space="preserve"> for money is </w:t>
      </w:r>
      <w:r w:rsidR="00EE2D98">
        <w:t xml:space="preserve">therefore </w:t>
      </w:r>
      <w:r w:rsidRPr="00D90F8A">
        <w:t xml:space="preserve">about getting the right balance between cost (economy) together with </w:t>
      </w:r>
      <w:r w:rsidR="005879D8">
        <w:t xml:space="preserve">how </w:t>
      </w:r>
      <w:r w:rsidRPr="00D90F8A">
        <w:t>efficien</w:t>
      </w:r>
      <w:r w:rsidR="005879D8">
        <w:t>t</w:t>
      </w:r>
      <w:r w:rsidRPr="00D90F8A">
        <w:t xml:space="preserve"> and effective we are as an organisation.</w:t>
      </w:r>
      <w:r w:rsidR="006D706B">
        <w:t xml:space="preserve">  </w:t>
      </w:r>
      <w:r w:rsidR="005879D8">
        <w:t>W</w:t>
      </w:r>
      <w:r w:rsidR="006D706B">
        <w:t xml:space="preserve">e are clear that </w:t>
      </w:r>
      <w:r w:rsidR="00E82154">
        <w:t xml:space="preserve">in </w:t>
      </w:r>
      <w:r w:rsidR="006D706B">
        <w:t xml:space="preserve">delivering a wider community service and investing in new homes, that our </w:t>
      </w:r>
      <w:r w:rsidR="00E82154">
        <w:t>approach</w:t>
      </w:r>
      <w:r w:rsidR="00E82154">
        <w:t xml:space="preserve"> to </w:t>
      </w:r>
      <w:r w:rsidR="006D706B">
        <w:t xml:space="preserve">efficiency must </w:t>
      </w:r>
      <w:r w:rsidR="00886C9A">
        <w:t xml:space="preserve">also </w:t>
      </w:r>
      <w:r w:rsidR="006D706B">
        <w:t xml:space="preserve">be geared towards achieving our medium- and </w:t>
      </w:r>
      <w:r w:rsidR="00E82154">
        <w:t>longer-term</w:t>
      </w:r>
      <w:r w:rsidR="006D706B">
        <w:t xml:space="preserve"> vision of investment and growth. </w:t>
      </w:r>
    </w:p>
    <w:p w14:paraId="3155C7EE" w14:textId="33525E87" w:rsidR="00BE31C0" w:rsidRDefault="00124D82" w:rsidP="00124D82">
      <w:pPr>
        <w:spacing w:after="0" w:line="240" w:lineRule="auto"/>
        <w:jc w:val="both"/>
      </w:pPr>
      <w:r w:rsidRPr="00124D82">
        <w:rPr>
          <w:iCs/>
        </w:rPr>
        <w:t>The Regulatory Framework for housing associations includes</w:t>
      </w:r>
      <w:r w:rsidRPr="00124D82">
        <w:t xml:space="preserve"> a Value for Money standard that requires </w:t>
      </w:r>
      <w:r w:rsidR="00E82154">
        <w:t xml:space="preserve">VHA as a </w:t>
      </w:r>
      <w:r w:rsidRPr="00124D82">
        <w:t xml:space="preserve">registered landlord to; manage resources </w:t>
      </w:r>
      <w:r w:rsidRPr="00124D82">
        <w:rPr>
          <w:b/>
          <w:bCs/>
        </w:rPr>
        <w:t>economically, efficiently and effectivel</w:t>
      </w:r>
      <w:r w:rsidRPr="00124D82">
        <w:t xml:space="preserve">y in our provision of housing and services, for Boards to maintain a robust assessment of </w:t>
      </w:r>
      <w:proofErr w:type="spellStart"/>
      <w:r w:rsidRPr="00124D82">
        <w:t>VfM</w:t>
      </w:r>
      <w:proofErr w:type="spellEnd"/>
      <w:r w:rsidRPr="00124D82">
        <w:t xml:space="preserve"> performance and to articulate how they will deliver </w:t>
      </w:r>
      <w:proofErr w:type="spellStart"/>
      <w:r w:rsidRPr="00124D82">
        <w:t>VfM</w:t>
      </w:r>
      <w:proofErr w:type="spellEnd"/>
      <w:r w:rsidRPr="00124D82">
        <w:t xml:space="preserve">.  </w:t>
      </w:r>
      <w:r w:rsidR="00BB7B5C">
        <w:t>We believe that we fully comply with this requirement.</w:t>
      </w:r>
    </w:p>
    <w:p w14:paraId="350DF741" w14:textId="77777777" w:rsidR="00BE31C0" w:rsidRDefault="00BE31C0" w:rsidP="00124D82">
      <w:pPr>
        <w:spacing w:after="0" w:line="240" w:lineRule="auto"/>
        <w:jc w:val="both"/>
      </w:pPr>
    </w:p>
    <w:p w14:paraId="0E46E715" w14:textId="7C4F5970" w:rsidR="004D36B2" w:rsidRDefault="004D36B2" w:rsidP="004D36B2">
      <w:r>
        <w:t xml:space="preserve">This is </w:t>
      </w:r>
      <w:proofErr w:type="spellStart"/>
      <w:r>
        <w:t>crystalised</w:t>
      </w:r>
      <w:proofErr w:type="spellEnd"/>
      <w:r>
        <w:t xml:space="preserve"> in the new </w:t>
      </w:r>
      <w:proofErr w:type="spellStart"/>
      <w:r>
        <w:t>VfM</w:t>
      </w:r>
      <w:proofErr w:type="spellEnd"/>
      <w:r>
        <w:t xml:space="preserve"> indicators required by the Regulator for Social Housing (see below)</w:t>
      </w:r>
    </w:p>
    <w:tbl>
      <w:tblPr>
        <w:tblStyle w:val="TableGrid"/>
        <w:tblW w:w="0" w:type="auto"/>
        <w:tblLook w:val="04A0" w:firstRow="1" w:lastRow="0" w:firstColumn="1" w:lastColumn="0" w:noHBand="0" w:noVBand="1"/>
      </w:tblPr>
      <w:tblGrid>
        <w:gridCol w:w="4390"/>
        <w:gridCol w:w="1417"/>
        <w:gridCol w:w="1418"/>
        <w:gridCol w:w="1502"/>
      </w:tblGrid>
      <w:tr w:rsidR="004D36B2" w14:paraId="3F89B32C" w14:textId="77777777" w:rsidTr="00FE6A73">
        <w:tc>
          <w:tcPr>
            <w:tcW w:w="4390" w:type="dxa"/>
            <w:shd w:val="clear" w:color="auto" w:fill="BFBFBF" w:themeFill="background1" w:themeFillShade="BF"/>
          </w:tcPr>
          <w:p w14:paraId="511BBEB6" w14:textId="77777777" w:rsidR="004D36B2" w:rsidRPr="00475035" w:rsidRDefault="004D36B2" w:rsidP="00FE6A73">
            <w:pPr>
              <w:jc w:val="both"/>
            </w:pPr>
            <w:r>
              <w:t>Regulator for Social Housing Indicator</w:t>
            </w:r>
          </w:p>
        </w:tc>
        <w:tc>
          <w:tcPr>
            <w:tcW w:w="1417" w:type="dxa"/>
            <w:shd w:val="clear" w:color="auto" w:fill="BFBFBF" w:themeFill="background1" w:themeFillShade="BF"/>
          </w:tcPr>
          <w:p w14:paraId="30701ACB" w14:textId="77777777" w:rsidR="004D36B2" w:rsidRDefault="004D36B2" w:rsidP="00FE6A73">
            <w:pPr>
              <w:jc w:val="center"/>
            </w:pPr>
            <w:r>
              <w:t>2018</w:t>
            </w:r>
          </w:p>
        </w:tc>
        <w:tc>
          <w:tcPr>
            <w:tcW w:w="1418" w:type="dxa"/>
            <w:shd w:val="clear" w:color="auto" w:fill="BFBFBF" w:themeFill="background1" w:themeFillShade="BF"/>
          </w:tcPr>
          <w:p w14:paraId="57C0ACF2" w14:textId="77777777" w:rsidR="004D36B2" w:rsidRDefault="004D36B2" w:rsidP="00FE6A73">
            <w:pPr>
              <w:jc w:val="center"/>
            </w:pPr>
            <w:r>
              <w:t>2017</w:t>
            </w:r>
          </w:p>
        </w:tc>
        <w:tc>
          <w:tcPr>
            <w:tcW w:w="1502" w:type="dxa"/>
            <w:shd w:val="clear" w:color="auto" w:fill="BFBFBF" w:themeFill="background1" w:themeFillShade="BF"/>
          </w:tcPr>
          <w:p w14:paraId="15B79988" w14:textId="0A0DFE7C" w:rsidR="004D36B2" w:rsidRDefault="004D36B2" w:rsidP="00FE6A73">
            <w:pPr>
              <w:jc w:val="center"/>
            </w:pPr>
            <w:r>
              <w:t>SPBM Median 2018</w:t>
            </w:r>
          </w:p>
        </w:tc>
      </w:tr>
      <w:tr w:rsidR="004D36B2" w14:paraId="32C3529F" w14:textId="77777777" w:rsidTr="00FE6A73">
        <w:tc>
          <w:tcPr>
            <w:tcW w:w="4390" w:type="dxa"/>
          </w:tcPr>
          <w:p w14:paraId="20AB84BD" w14:textId="77777777" w:rsidR="004D36B2" w:rsidRDefault="004D36B2" w:rsidP="00FE6A73">
            <w:pPr>
              <w:jc w:val="both"/>
            </w:pPr>
            <w:r w:rsidRPr="00475035">
              <w:t>RSH101 Operating margin (overall)</w:t>
            </w:r>
          </w:p>
          <w:p w14:paraId="6F1013C2" w14:textId="77777777" w:rsidR="004D36B2" w:rsidRDefault="004D36B2" w:rsidP="00FE6A73">
            <w:pPr>
              <w:jc w:val="both"/>
            </w:pPr>
          </w:p>
        </w:tc>
        <w:tc>
          <w:tcPr>
            <w:tcW w:w="1417" w:type="dxa"/>
          </w:tcPr>
          <w:p w14:paraId="56D2F628" w14:textId="77777777" w:rsidR="004D36B2" w:rsidRDefault="004D36B2" w:rsidP="00FE6A73">
            <w:pPr>
              <w:jc w:val="center"/>
            </w:pPr>
            <w:r>
              <w:t>16.36</w:t>
            </w:r>
          </w:p>
        </w:tc>
        <w:tc>
          <w:tcPr>
            <w:tcW w:w="1418" w:type="dxa"/>
          </w:tcPr>
          <w:p w14:paraId="763A3FF5" w14:textId="77777777" w:rsidR="004D36B2" w:rsidRDefault="004D36B2" w:rsidP="00FE6A73">
            <w:pPr>
              <w:jc w:val="center"/>
            </w:pPr>
            <w:r>
              <w:t>17.15</w:t>
            </w:r>
          </w:p>
        </w:tc>
        <w:tc>
          <w:tcPr>
            <w:tcW w:w="1502" w:type="dxa"/>
          </w:tcPr>
          <w:p w14:paraId="33B49BA2" w14:textId="133CBCFA" w:rsidR="004D36B2" w:rsidRDefault="004D36B2" w:rsidP="00FE6A73">
            <w:pPr>
              <w:jc w:val="center"/>
            </w:pPr>
            <w:r>
              <w:t>22.4</w:t>
            </w:r>
          </w:p>
        </w:tc>
      </w:tr>
      <w:tr w:rsidR="004D36B2" w14:paraId="732A8499" w14:textId="77777777" w:rsidTr="00FE6A73">
        <w:tc>
          <w:tcPr>
            <w:tcW w:w="4390" w:type="dxa"/>
          </w:tcPr>
          <w:p w14:paraId="0A455D28" w14:textId="77777777" w:rsidR="004D36B2" w:rsidRDefault="004D36B2" w:rsidP="00FE6A73">
            <w:pPr>
              <w:jc w:val="both"/>
            </w:pPr>
            <w:r w:rsidRPr="00475035">
              <w:t>RSH102 Operating margin (social housing lettings)</w:t>
            </w:r>
          </w:p>
          <w:p w14:paraId="22136E45" w14:textId="77777777" w:rsidR="004D36B2" w:rsidRDefault="004D36B2" w:rsidP="00FE6A73">
            <w:pPr>
              <w:jc w:val="both"/>
            </w:pPr>
          </w:p>
        </w:tc>
        <w:tc>
          <w:tcPr>
            <w:tcW w:w="1417" w:type="dxa"/>
          </w:tcPr>
          <w:p w14:paraId="5E7A2362" w14:textId="77777777" w:rsidR="004D36B2" w:rsidRDefault="004D36B2" w:rsidP="00FE6A73">
            <w:pPr>
              <w:jc w:val="center"/>
            </w:pPr>
            <w:r>
              <w:t>15.48</w:t>
            </w:r>
          </w:p>
        </w:tc>
        <w:tc>
          <w:tcPr>
            <w:tcW w:w="1418" w:type="dxa"/>
          </w:tcPr>
          <w:p w14:paraId="0EAC4A09" w14:textId="77777777" w:rsidR="004D36B2" w:rsidRDefault="004D36B2" w:rsidP="00FE6A73">
            <w:pPr>
              <w:jc w:val="center"/>
            </w:pPr>
            <w:r>
              <w:t>16.71</w:t>
            </w:r>
          </w:p>
        </w:tc>
        <w:tc>
          <w:tcPr>
            <w:tcW w:w="1502" w:type="dxa"/>
          </w:tcPr>
          <w:p w14:paraId="02A0F02C" w14:textId="25FA5CE9" w:rsidR="004D36B2" w:rsidRDefault="004D36B2" w:rsidP="00FE6A73">
            <w:pPr>
              <w:jc w:val="center"/>
            </w:pPr>
            <w:r>
              <w:t>26.4</w:t>
            </w:r>
          </w:p>
        </w:tc>
      </w:tr>
      <w:tr w:rsidR="004D36B2" w14:paraId="3CFDA744" w14:textId="77777777" w:rsidTr="00FE6A73">
        <w:tc>
          <w:tcPr>
            <w:tcW w:w="4390" w:type="dxa"/>
          </w:tcPr>
          <w:p w14:paraId="412DDFC4" w14:textId="77777777" w:rsidR="004D36B2" w:rsidRDefault="004D36B2" w:rsidP="00FE6A73">
            <w:pPr>
              <w:jc w:val="both"/>
            </w:pPr>
            <w:r w:rsidRPr="00475035">
              <w:lastRenderedPageBreak/>
              <w:t>RSH103 EBITDA MRI (as % interest)</w:t>
            </w:r>
          </w:p>
          <w:p w14:paraId="17EE2844" w14:textId="77777777" w:rsidR="004D36B2" w:rsidRDefault="004D36B2" w:rsidP="00FE6A73">
            <w:pPr>
              <w:jc w:val="both"/>
            </w:pPr>
          </w:p>
        </w:tc>
        <w:tc>
          <w:tcPr>
            <w:tcW w:w="1417" w:type="dxa"/>
          </w:tcPr>
          <w:p w14:paraId="268B65D0" w14:textId="77777777" w:rsidR="004D36B2" w:rsidRDefault="004D36B2" w:rsidP="00FE6A73">
            <w:pPr>
              <w:jc w:val="center"/>
            </w:pPr>
            <w:r>
              <w:t>285.47</w:t>
            </w:r>
          </w:p>
        </w:tc>
        <w:tc>
          <w:tcPr>
            <w:tcW w:w="1418" w:type="dxa"/>
          </w:tcPr>
          <w:p w14:paraId="4CCD9D60" w14:textId="77777777" w:rsidR="004D36B2" w:rsidRDefault="004D36B2" w:rsidP="00FE6A73">
            <w:pPr>
              <w:jc w:val="center"/>
            </w:pPr>
            <w:r>
              <w:t>252.72</w:t>
            </w:r>
          </w:p>
        </w:tc>
        <w:tc>
          <w:tcPr>
            <w:tcW w:w="1502" w:type="dxa"/>
          </w:tcPr>
          <w:p w14:paraId="071B4A4A" w14:textId="472B1A12" w:rsidR="004D36B2" w:rsidRDefault="004D36B2" w:rsidP="00FE6A73">
            <w:pPr>
              <w:jc w:val="center"/>
            </w:pPr>
            <w:r>
              <w:t>306</w:t>
            </w:r>
          </w:p>
        </w:tc>
      </w:tr>
      <w:tr w:rsidR="004D36B2" w14:paraId="66EC92BA" w14:textId="77777777" w:rsidTr="00FE6A73">
        <w:tc>
          <w:tcPr>
            <w:tcW w:w="4390" w:type="dxa"/>
          </w:tcPr>
          <w:p w14:paraId="6A069FE3" w14:textId="77777777" w:rsidR="004D36B2" w:rsidRDefault="004D36B2" w:rsidP="00FE6A73">
            <w:pPr>
              <w:jc w:val="both"/>
            </w:pPr>
            <w:r w:rsidRPr="00475035">
              <w:t>RSH203 Gearing (RSH and Scorecard measure)</w:t>
            </w:r>
          </w:p>
          <w:p w14:paraId="1B30AC8C" w14:textId="77777777" w:rsidR="004D36B2" w:rsidRPr="00475035" w:rsidRDefault="004D36B2" w:rsidP="00FE6A73">
            <w:pPr>
              <w:jc w:val="both"/>
            </w:pPr>
          </w:p>
        </w:tc>
        <w:tc>
          <w:tcPr>
            <w:tcW w:w="1417" w:type="dxa"/>
          </w:tcPr>
          <w:p w14:paraId="35582B9C" w14:textId="77777777" w:rsidR="004D36B2" w:rsidRDefault="004D36B2" w:rsidP="00FE6A73">
            <w:pPr>
              <w:jc w:val="center"/>
            </w:pPr>
            <w:r>
              <w:t>20.03</w:t>
            </w:r>
          </w:p>
        </w:tc>
        <w:tc>
          <w:tcPr>
            <w:tcW w:w="1418" w:type="dxa"/>
          </w:tcPr>
          <w:p w14:paraId="128DD4B8" w14:textId="77777777" w:rsidR="004D36B2" w:rsidRDefault="004D36B2" w:rsidP="00FE6A73">
            <w:pPr>
              <w:jc w:val="center"/>
            </w:pPr>
            <w:r>
              <w:t>23.94</w:t>
            </w:r>
          </w:p>
        </w:tc>
        <w:tc>
          <w:tcPr>
            <w:tcW w:w="1502" w:type="dxa"/>
          </w:tcPr>
          <w:p w14:paraId="66265089" w14:textId="6A441395" w:rsidR="004D36B2" w:rsidRDefault="004D36B2" w:rsidP="00FE6A73">
            <w:pPr>
              <w:jc w:val="center"/>
            </w:pPr>
            <w:r>
              <w:t>21.47</w:t>
            </w:r>
          </w:p>
        </w:tc>
      </w:tr>
      <w:tr w:rsidR="004D36B2" w14:paraId="2D18A4C0" w14:textId="77777777" w:rsidTr="00FE6A73">
        <w:tc>
          <w:tcPr>
            <w:tcW w:w="4390" w:type="dxa"/>
          </w:tcPr>
          <w:p w14:paraId="1CC5C62F" w14:textId="1AB8BBF4" w:rsidR="004D36B2" w:rsidRDefault="004D36B2" w:rsidP="00FE6A73">
            <w:pPr>
              <w:jc w:val="both"/>
            </w:pPr>
            <w:r w:rsidRPr="00475035">
              <w:t>RSH204 New supply delivered (social housing units)</w:t>
            </w:r>
            <w:r w:rsidR="00F87048">
              <w:t xml:space="preserve"> [as % of existing stock]</w:t>
            </w:r>
          </w:p>
          <w:p w14:paraId="6A50C007" w14:textId="77777777" w:rsidR="004D36B2" w:rsidRDefault="004D36B2" w:rsidP="00FE6A73">
            <w:pPr>
              <w:jc w:val="both"/>
            </w:pPr>
          </w:p>
        </w:tc>
        <w:tc>
          <w:tcPr>
            <w:tcW w:w="1417" w:type="dxa"/>
          </w:tcPr>
          <w:p w14:paraId="36E3CD45" w14:textId="0F211442" w:rsidR="004D36B2" w:rsidRDefault="004D36B2" w:rsidP="00FE6A73">
            <w:pPr>
              <w:jc w:val="center"/>
            </w:pPr>
            <w:r>
              <w:t>.3</w:t>
            </w:r>
          </w:p>
        </w:tc>
        <w:tc>
          <w:tcPr>
            <w:tcW w:w="1418" w:type="dxa"/>
          </w:tcPr>
          <w:p w14:paraId="5C46AC27" w14:textId="67832F6A" w:rsidR="004D36B2" w:rsidRDefault="00F87048" w:rsidP="00FE6A73">
            <w:pPr>
              <w:jc w:val="center"/>
            </w:pPr>
            <w:r>
              <w:t>.2</w:t>
            </w:r>
          </w:p>
        </w:tc>
        <w:tc>
          <w:tcPr>
            <w:tcW w:w="1502" w:type="dxa"/>
          </w:tcPr>
          <w:p w14:paraId="1E473713" w14:textId="43E2D844" w:rsidR="004D36B2" w:rsidRDefault="004D36B2" w:rsidP="00FE6A73">
            <w:pPr>
              <w:jc w:val="center"/>
            </w:pPr>
            <w:r>
              <w:t>0</w:t>
            </w:r>
          </w:p>
        </w:tc>
      </w:tr>
      <w:tr w:rsidR="004D36B2" w14:paraId="1A624D45" w14:textId="77777777" w:rsidTr="00FE6A73">
        <w:tc>
          <w:tcPr>
            <w:tcW w:w="4390" w:type="dxa"/>
          </w:tcPr>
          <w:p w14:paraId="25753337" w14:textId="77777777" w:rsidR="004D36B2" w:rsidRDefault="004D36B2" w:rsidP="00FE6A73">
            <w:pPr>
              <w:jc w:val="both"/>
            </w:pPr>
            <w:r w:rsidRPr="00475035">
              <w:t>RSH205 New supply delivered (Non-social housing units)</w:t>
            </w:r>
          </w:p>
          <w:p w14:paraId="1C3A9A2D" w14:textId="77777777" w:rsidR="004D36B2" w:rsidRDefault="004D36B2" w:rsidP="00FE6A73">
            <w:pPr>
              <w:jc w:val="both"/>
            </w:pPr>
          </w:p>
        </w:tc>
        <w:tc>
          <w:tcPr>
            <w:tcW w:w="1417" w:type="dxa"/>
          </w:tcPr>
          <w:p w14:paraId="0F3977FB" w14:textId="77777777" w:rsidR="004D36B2" w:rsidRDefault="004D36B2" w:rsidP="00FE6A73">
            <w:pPr>
              <w:jc w:val="center"/>
            </w:pPr>
            <w:r>
              <w:t>0</w:t>
            </w:r>
          </w:p>
        </w:tc>
        <w:tc>
          <w:tcPr>
            <w:tcW w:w="1418" w:type="dxa"/>
          </w:tcPr>
          <w:p w14:paraId="2ABCA48A" w14:textId="77777777" w:rsidR="004D36B2" w:rsidRDefault="004D36B2" w:rsidP="00FE6A73">
            <w:pPr>
              <w:jc w:val="center"/>
            </w:pPr>
            <w:r>
              <w:t>0</w:t>
            </w:r>
          </w:p>
        </w:tc>
        <w:tc>
          <w:tcPr>
            <w:tcW w:w="1502" w:type="dxa"/>
          </w:tcPr>
          <w:p w14:paraId="2200F922" w14:textId="788A29F2" w:rsidR="004D36B2" w:rsidRDefault="004D36B2" w:rsidP="00FE6A73">
            <w:pPr>
              <w:jc w:val="center"/>
            </w:pPr>
            <w:r>
              <w:t>0</w:t>
            </w:r>
          </w:p>
        </w:tc>
      </w:tr>
      <w:tr w:rsidR="004D36B2" w14:paraId="01B03698" w14:textId="77777777" w:rsidTr="00FE6A73">
        <w:tc>
          <w:tcPr>
            <w:tcW w:w="4390" w:type="dxa"/>
          </w:tcPr>
          <w:p w14:paraId="483B0138" w14:textId="77777777" w:rsidR="004D36B2" w:rsidRDefault="004D36B2" w:rsidP="00FE6A73">
            <w:pPr>
              <w:jc w:val="both"/>
            </w:pPr>
            <w:r w:rsidRPr="00475035">
              <w:t>RSH304 Reinvestment %</w:t>
            </w:r>
          </w:p>
          <w:p w14:paraId="1AAAA12E" w14:textId="77777777" w:rsidR="004D36B2" w:rsidRDefault="004D36B2" w:rsidP="00FE6A73">
            <w:pPr>
              <w:jc w:val="both"/>
            </w:pPr>
          </w:p>
        </w:tc>
        <w:tc>
          <w:tcPr>
            <w:tcW w:w="1417" w:type="dxa"/>
          </w:tcPr>
          <w:p w14:paraId="1EF62167" w14:textId="77777777" w:rsidR="004D36B2" w:rsidRDefault="004D36B2" w:rsidP="00FE6A73">
            <w:pPr>
              <w:jc w:val="center"/>
            </w:pPr>
            <w:r>
              <w:t>6.37</w:t>
            </w:r>
          </w:p>
        </w:tc>
        <w:tc>
          <w:tcPr>
            <w:tcW w:w="1418" w:type="dxa"/>
          </w:tcPr>
          <w:p w14:paraId="636C2F07" w14:textId="77777777" w:rsidR="004D36B2" w:rsidRDefault="004D36B2" w:rsidP="00FE6A73">
            <w:pPr>
              <w:jc w:val="center"/>
            </w:pPr>
            <w:r>
              <w:t>n/a</w:t>
            </w:r>
          </w:p>
        </w:tc>
        <w:tc>
          <w:tcPr>
            <w:tcW w:w="1502" w:type="dxa"/>
          </w:tcPr>
          <w:p w14:paraId="48550BBD" w14:textId="750F3318" w:rsidR="004D36B2" w:rsidRDefault="004D36B2" w:rsidP="00FE6A73">
            <w:pPr>
              <w:jc w:val="center"/>
            </w:pPr>
            <w:r>
              <w:t>4.34</w:t>
            </w:r>
          </w:p>
        </w:tc>
      </w:tr>
      <w:tr w:rsidR="004D36B2" w14:paraId="1DA8F6E6" w14:textId="77777777" w:rsidTr="00FE6A73">
        <w:tc>
          <w:tcPr>
            <w:tcW w:w="4390" w:type="dxa"/>
          </w:tcPr>
          <w:p w14:paraId="602B0C08" w14:textId="77777777" w:rsidR="004D36B2" w:rsidRDefault="004D36B2" w:rsidP="00FE6A73">
            <w:pPr>
              <w:jc w:val="both"/>
            </w:pPr>
            <w:r w:rsidRPr="00475035">
              <w:t>RSH401 Return on Capital Employed (ROCE) %</w:t>
            </w:r>
          </w:p>
          <w:p w14:paraId="6E796C31" w14:textId="77777777" w:rsidR="004D36B2" w:rsidRDefault="004D36B2" w:rsidP="00FE6A73">
            <w:pPr>
              <w:jc w:val="both"/>
            </w:pPr>
          </w:p>
        </w:tc>
        <w:tc>
          <w:tcPr>
            <w:tcW w:w="1417" w:type="dxa"/>
          </w:tcPr>
          <w:p w14:paraId="43388A1D" w14:textId="77777777" w:rsidR="004D36B2" w:rsidRDefault="004D36B2" w:rsidP="00FE6A73">
            <w:pPr>
              <w:jc w:val="center"/>
            </w:pPr>
            <w:r>
              <w:t>2.13</w:t>
            </w:r>
          </w:p>
        </w:tc>
        <w:tc>
          <w:tcPr>
            <w:tcW w:w="1418" w:type="dxa"/>
          </w:tcPr>
          <w:p w14:paraId="6B174D2E" w14:textId="77777777" w:rsidR="004D36B2" w:rsidRDefault="004D36B2" w:rsidP="00FE6A73">
            <w:pPr>
              <w:jc w:val="center"/>
            </w:pPr>
            <w:r>
              <w:t>2.11</w:t>
            </w:r>
          </w:p>
        </w:tc>
        <w:tc>
          <w:tcPr>
            <w:tcW w:w="1502" w:type="dxa"/>
          </w:tcPr>
          <w:p w14:paraId="77F8C4F6" w14:textId="00308A26" w:rsidR="004D36B2" w:rsidRDefault="004D36B2" w:rsidP="00FE6A73">
            <w:pPr>
              <w:jc w:val="center"/>
            </w:pPr>
            <w:r>
              <w:t>3.5</w:t>
            </w:r>
          </w:p>
        </w:tc>
      </w:tr>
      <w:tr w:rsidR="004D36B2" w14:paraId="0E9A0BD5" w14:textId="77777777" w:rsidTr="00FE6A73">
        <w:tc>
          <w:tcPr>
            <w:tcW w:w="4390" w:type="dxa"/>
          </w:tcPr>
          <w:p w14:paraId="76148DD3" w14:textId="77777777" w:rsidR="004D36B2" w:rsidRDefault="004D36B2" w:rsidP="00FE6A73">
            <w:pPr>
              <w:jc w:val="both"/>
            </w:pPr>
            <w:r>
              <w:t xml:space="preserve">RSH 501 </w:t>
            </w:r>
            <w:r w:rsidRPr="00E83139">
              <w:t>Headline housing cost per unit</w:t>
            </w:r>
          </w:p>
          <w:p w14:paraId="0D91C14E" w14:textId="77777777" w:rsidR="004D36B2" w:rsidRPr="00475035" w:rsidRDefault="004D36B2" w:rsidP="00FE6A73">
            <w:pPr>
              <w:jc w:val="both"/>
            </w:pPr>
          </w:p>
        </w:tc>
        <w:tc>
          <w:tcPr>
            <w:tcW w:w="1417" w:type="dxa"/>
          </w:tcPr>
          <w:p w14:paraId="2BB1854F" w14:textId="77777777" w:rsidR="004D36B2" w:rsidRDefault="004D36B2" w:rsidP="00FE6A73">
            <w:pPr>
              <w:jc w:val="center"/>
            </w:pPr>
            <w:r>
              <w:t>£5402.11</w:t>
            </w:r>
          </w:p>
        </w:tc>
        <w:tc>
          <w:tcPr>
            <w:tcW w:w="1418" w:type="dxa"/>
          </w:tcPr>
          <w:p w14:paraId="5453F579" w14:textId="77777777" w:rsidR="004D36B2" w:rsidRDefault="004D36B2" w:rsidP="00FE6A73">
            <w:pPr>
              <w:jc w:val="center"/>
            </w:pPr>
            <w:r>
              <w:t>£5347.72</w:t>
            </w:r>
          </w:p>
        </w:tc>
        <w:tc>
          <w:tcPr>
            <w:tcW w:w="1502" w:type="dxa"/>
          </w:tcPr>
          <w:p w14:paraId="33FD11A1" w14:textId="66ACC602" w:rsidR="004D36B2" w:rsidRDefault="004D36B2" w:rsidP="00FE6A73">
            <w:pPr>
              <w:jc w:val="center"/>
            </w:pPr>
            <w:r>
              <w:t>£4,317</w:t>
            </w:r>
          </w:p>
        </w:tc>
      </w:tr>
    </w:tbl>
    <w:p w14:paraId="0B711070" w14:textId="77777777" w:rsidR="00BE31C0" w:rsidRDefault="00BE31C0" w:rsidP="00124D82">
      <w:pPr>
        <w:spacing w:after="0" w:line="240" w:lineRule="auto"/>
        <w:jc w:val="both"/>
      </w:pPr>
    </w:p>
    <w:p w14:paraId="3C6D1A69" w14:textId="6EC4E17F" w:rsidR="00BE31C0" w:rsidRDefault="00F87048" w:rsidP="00124D82">
      <w:pPr>
        <w:spacing w:after="0" w:line="240" w:lineRule="auto"/>
        <w:jc w:val="both"/>
      </w:pPr>
      <w:r>
        <w:t xml:space="preserve">While operating margin and headline costs appear out of </w:t>
      </w:r>
      <w:r w:rsidR="005879D8">
        <w:t>line</w:t>
      </w:r>
      <w:r>
        <w:t xml:space="preserve"> with our SPBM benchmarking peers, this is largely a result of three key </w:t>
      </w:r>
      <w:r w:rsidR="005879D8">
        <w:t xml:space="preserve">strategic </w:t>
      </w:r>
      <w:r>
        <w:t>factors:</w:t>
      </w:r>
    </w:p>
    <w:p w14:paraId="33E1B970" w14:textId="7593BAD3" w:rsidR="00F87048" w:rsidRDefault="00F87048" w:rsidP="00124D82">
      <w:pPr>
        <w:spacing w:after="0" w:line="240" w:lineRule="auto"/>
        <w:jc w:val="both"/>
      </w:pPr>
    </w:p>
    <w:p w14:paraId="3F73393F" w14:textId="5719D0C0" w:rsidR="00F87048" w:rsidRDefault="00F87048" w:rsidP="00F87048">
      <w:pPr>
        <w:pStyle w:val="ListParagraph"/>
        <w:numPr>
          <w:ilvl w:val="0"/>
          <w:numId w:val="4"/>
        </w:numPr>
        <w:spacing w:after="0" w:line="240" w:lineRule="auto"/>
        <w:jc w:val="both"/>
      </w:pPr>
      <w:r>
        <w:t>Our investment in the process of developing new homes – this relates to the staff and building costs of new developments, which have not yet come into management.</w:t>
      </w:r>
    </w:p>
    <w:p w14:paraId="146A45EC" w14:textId="1EAA7558" w:rsidR="00F87048" w:rsidRDefault="00F87048" w:rsidP="00F87048">
      <w:pPr>
        <w:pStyle w:val="ListParagraph"/>
        <w:numPr>
          <w:ilvl w:val="0"/>
          <w:numId w:val="4"/>
        </w:numPr>
        <w:spacing w:after="0" w:line="240" w:lineRule="auto"/>
        <w:jc w:val="both"/>
      </w:pPr>
      <w:r>
        <w:t>Our investment in supporting and developing communities – this is central to our values and business model</w:t>
      </w:r>
    </w:p>
    <w:p w14:paraId="0C647186" w14:textId="40CE0A68" w:rsidR="00F87048" w:rsidRDefault="00F87048" w:rsidP="00F87048">
      <w:pPr>
        <w:pStyle w:val="ListParagraph"/>
        <w:numPr>
          <w:ilvl w:val="0"/>
          <w:numId w:val="4"/>
        </w:numPr>
        <w:spacing w:after="0" w:line="240" w:lineRule="auto"/>
        <w:jc w:val="both"/>
      </w:pPr>
      <w:r>
        <w:t xml:space="preserve">Higher than average void, repair and arrears costs </w:t>
      </w:r>
      <w:r w:rsidR="00CB462E">
        <w:t xml:space="preserve">partly </w:t>
      </w:r>
      <w:r>
        <w:t>resulting from a strategic partnership with the IoW Council to provide temporary accommodation for homeless people.</w:t>
      </w:r>
    </w:p>
    <w:p w14:paraId="7598D23F" w14:textId="77777777" w:rsidR="004D36B2" w:rsidRDefault="004D36B2" w:rsidP="00124D82">
      <w:pPr>
        <w:spacing w:after="0" w:line="240" w:lineRule="auto"/>
        <w:jc w:val="both"/>
      </w:pPr>
    </w:p>
    <w:p w14:paraId="70CC1A69" w14:textId="22661A1B" w:rsidR="003A717A" w:rsidRDefault="003A717A" w:rsidP="003A717A">
      <w:pPr>
        <w:jc w:val="both"/>
      </w:pPr>
      <w:r>
        <w:t xml:space="preserve">We have an ethos of delivering value to tenants and consistently reduce costs where possible.  We continue to drive savings in our unit costs for maintenance while retaining quality and performance. We continue to post repairs and maintenance costs </w:t>
      </w:r>
      <w:r w:rsidR="005879D8">
        <w:t xml:space="preserve">in line with, or lower </w:t>
      </w:r>
      <w:r>
        <w:t xml:space="preserve">than our peers and have </w:t>
      </w:r>
      <w:r w:rsidR="005879D8">
        <w:t>a</w:t>
      </w:r>
      <w:r>
        <w:t xml:space="preserve"> </w:t>
      </w:r>
      <w:r w:rsidR="005879D8">
        <w:t>positive</w:t>
      </w:r>
      <w:r>
        <w:t xml:space="preserve"> balance between responsive and planned maintenance.</w:t>
      </w:r>
    </w:p>
    <w:p w14:paraId="611E18EA" w14:textId="23B30012" w:rsidR="003A717A" w:rsidRDefault="003A717A" w:rsidP="003A717A">
      <w:pPr>
        <w:jc w:val="both"/>
      </w:pPr>
      <w:r>
        <w:t xml:space="preserve">We have worked to create a value for money culture within VHA.  In addition to a focus on saving costs, this has involved </w:t>
      </w:r>
      <w:r w:rsidR="005879D8">
        <w:t xml:space="preserve">making </w:t>
      </w:r>
      <w:r>
        <w:t xml:space="preserve">decisions to invest in structural and operational improvements to sustain our planned growth moving forward.  While we continue to examine everything we do with a view to improving efficiency, we ultimately view our costs in running the Association within the strategic context of the Business Plan.  As a result, some of the benefits flowing from our investment may not be initially </w:t>
      </w:r>
      <w:r w:rsidR="00CB462E">
        <w:t>obvious but</w:t>
      </w:r>
      <w:r>
        <w:t xml:space="preserve"> will bear fruit </w:t>
      </w:r>
      <w:r w:rsidR="005879D8">
        <w:t>in future</w:t>
      </w:r>
      <w:r>
        <w:t xml:space="preserve"> years.  </w:t>
      </w:r>
    </w:p>
    <w:p w14:paraId="2B4A798F" w14:textId="4F8FD20D" w:rsidR="00124D82" w:rsidRPr="00124D82" w:rsidRDefault="00124D82" w:rsidP="00124D82">
      <w:pPr>
        <w:spacing w:after="0" w:line="240" w:lineRule="auto"/>
        <w:jc w:val="both"/>
      </w:pPr>
      <w:r>
        <w:t xml:space="preserve">We have produced a </w:t>
      </w:r>
      <w:proofErr w:type="spellStart"/>
      <w:r w:rsidRPr="00124D82">
        <w:t>VfM</w:t>
      </w:r>
      <w:proofErr w:type="spellEnd"/>
      <w:r w:rsidRPr="00124D82">
        <w:t xml:space="preserve"> Statement </w:t>
      </w:r>
      <w:r w:rsidR="004D36B2">
        <w:t xml:space="preserve">and Policy </w:t>
      </w:r>
      <w:r>
        <w:t>that can be viewed and downloaded from our website</w:t>
      </w:r>
      <w:r w:rsidRPr="00124D82">
        <w:t xml:space="preserve">. </w:t>
      </w:r>
      <w:r>
        <w:t xml:space="preserve">  A summary of this statement will also be sent to all residents in an edition of our Tenants’ Newsletter.</w:t>
      </w:r>
    </w:p>
    <w:p w14:paraId="63262A94" w14:textId="77777777" w:rsidR="00E82109" w:rsidRDefault="00E82109" w:rsidP="00E82109">
      <w:pPr>
        <w:jc w:val="both"/>
      </w:pPr>
    </w:p>
    <w:p w14:paraId="4A3C627B" w14:textId="6B8D487F" w:rsidR="00E1280E" w:rsidRDefault="00E1280E" w:rsidP="00E82109">
      <w:pPr>
        <w:jc w:val="both"/>
      </w:pPr>
      <w:r>
        <w:t>August 201</w:t>
      </w:r>
      <w:r w:rsidR="00CB462E">
        <w:t>9</w:t>
      </w:r>
      <w:bookmarkStart w:id="0" w:name="_GoBack"/>
      <w:bookmarkEnd w:id="0"/>
    </w:p>
    <w:p w14:paraId="03FAC45A" w14:textId="464B6897" w:rsidR="00622F83" w:rsidRDefault="00622F83" w:rsidP="00E82109">
      <w:pPr>
        <w:jc w:val="both"/>
      </w:pPr>
    </w:p>
    <w:p w14:paraId="55F85606" w14:textId="330916F9" w:rsidR="00622F83" w:rsidRDefault="00622F83" w:rsidP="00E82109">
      <w:pPr>
        <w:jc w:val="both"/>
      </w:pPr>
    </w:p>
    <w:p w14:paraId="7EC30C6B" w14:textId="1BC06D65" w:rsidR="00622F83" w:rsidRDefault="00622F83" w:rsidP="00E82109">
      <w:pPr>
        <w:jc w:val="both"/>
      </w:pPr>
    </w:p>
    <w:p w14:paraId="1E80C9E3" w14:textId="77777777" w:rsidR="00A26F07" w:rsidRDefault="00A26F07" w:rsidP="00E82109">
      <w:pPr>
        <w:jc w:val="both"/>
      </w:pPr>
    </w:p>
    <w:sectPr w:rsidR="00A26F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4078E"/>
    <w:multiLevelType w:val="multilevel"/>
    <w:tmpl w:val="60144B4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 w15:restartNumberingAfterBreak="0">
    <w:nsid w:val="0FCF226F"/>
    <w:multiLevelType w:val="hybridMultilevel"/>
    <w:tmpl w:val="3C8C16C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36187D05"/>
    <w:multiLevelType w:val="hybridMultilevel"/>
    <w:tmpl w:val="AF200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4B3277"/>
    <w:multiLevelType w:val="multilevel"/>
    <w:tmpl w:val="6346E626"/>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109"/>
    <w:rsid w:val="00077DCC"/>
    <w:rsid w:val="00113B9F"/>
    <w:rsid w:val="00122FBC"/>
    <w:rsid w:val="00124D82"/>
    <w:rsid w:val="001256D4"/>
    <w:rsid w:val="001B2FF4"/>
    <w:rsid w:val="001C3A19"/>
    <w:rsid w:val="001C6B56"/>
    <w:rsid w:val="002D4CDF"/>
    <w:rsid w:val="0030664E"/>
    <w:rsid w:val="003A717A"/>
    <w:rsid w:val="00450AC8"/>
    <w:rsid w:val="00475035"/>
    <w:rsid w:val="004A484F"/>
    <w:rsid w:val="004D36B2"/>
    <w:rsid w:val="004F1197"/>
    <w:rsid w:val="00541905"/>
    <w:rsid w:val="005879D8"/>
    <w:rsid w:val="00622F83"/>
    <w:rsid w:val="00660F4A"/>
    <w:rsid w:val="006D706B"/>
    <w:rsid w:val="007138BB"/>
    <w:rsid w:val="00725B55"/>
    <w:rsid w:val="00787542"/>
    <w:rsid w:val="00886C9A"/>
    <w:rsid w:val="008A77E8"/>
    <w:rsid w:val="009E69F9"/>
    <w:rsid w:val="00A26F07"/>
    <w:rsid w:val="00A75D1D"/>
    <w:rsid w:val="00A83281"/>
    <w:rsid w:val="00AB667D"/>
    <w:rsid w:val="00B0741C"/>
    <w:rsid w:val="00B56DE5"/>
    <w:rsid w:val="00B9227E"/>
    <w:rsid w:val="00BB7B5C"/>
    <w:rsid w:val="00BE31C0"/>
    <w:rsid w:val="00BF57FB"/>
    <w:rsid w:val="00C7067B"/>
    <w:rsid w:val="00CB462E"/>
    <w:rsid w:val="00CC1A68"/>
    <w:rsid w:val="00D12C55"/>
    <w:rsid w:val="00D47F00"/>
    <w:rsid w:val="00D52977"/>
    <w:rsid w:val="00E0727C"/>
    <w:rsid w:val="00E1280E"/>
    <w:rsid w:val="00E82109"/>
    <w:rsid w:val="00E82154"/>
    <w:rsid w:val="00E83139"/>
    <w:rsid w:val="00EE2D98"/>
    <w:rsid w:val="00F42726"/>
    <w:rsid w:val="00F87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81A47"/>
  <w15:docId w15:val="{B1DC8AF2-2E1D-40A9-B4C8-3A0FA6E3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1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109"/>
    <w:pPr>
      <w:ind w:left="720"/>
      <w:contextualSpacing/>
    </w:pPr>
  </w:style>
  <w:style w:type="table" w:styleId="TableGrid">
    <w:name w:val="Table Grid"/>
    <w:basedOn w:val="TableNormal"/>
    <w:uiPriority w:val="59"/>
    <w:rsid w:val="00A26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Pearl</dc:creator>
  <cp:keywords/>
  <dc:description/>
  <cp:lastModifiedBy>Martyn Pearl</cp:lastModifiedBy>
  <cp:revision>7</cp:revision>
  <dcterms:created xsi:type="dcterms:W3CDTF">2019-05-29T14:40:00Z</dcterms:created>
  <dcterms:modified xsi:type="dcterms:W3CDTF">2019-05-29T15:13:00Z</dcterms:modified>
</cp:coreProperties>
</file>