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12262" w14:textId="77777777" w:rsidR="00E1280E" w:rsidRDefault="00E82109" w:rsidP="00E82109">
      <w:pPr>
        <w:rPr>
          <w:b/>
        </w:rPr>
      </w:pPr>
      <w:r w:rsidRPr="00AF0626">
        <w:rPr>
          <w:b/>
        </w:rPr>
        <w:t xml:space="preserve">Vectis </w:t>
      </w:r>
      <w:r w:rsidR="00E1280E">
        <w:rPr>
          <w:b/>
        </w:rPr>
        <w:t>Housing Association Limited</w:t>
      </w:r>
    </w:p>
    <w:p w14:paraId="53110887" w14:textId="29DE7DAC" w:rsidR="00E1280E" w:rsidRDefault="00E1280E" w:rsidP="00E82109">
      <w:pPr>
        <w:rPr>
          <w:b/>
        </w:rPr>
      </w:pPr>
      <w:r>
        <w:rPr>
          <w:b/>
        </w:rPr>
        <w:t>Financial Year Ending 31 March 20</w:t>
      </w:r>
      <w:r w:rsidR="00D00DB1">
        <w:rPr>
          <w:b/>
        </w:rPr>
        <w:t>2</w:t>
      </w:r>
      <w:r w:rsidR="0039058F">
        <w:rPr>
          <w:b/>
        </w:rPr>
        <w:t>2</w:t>
      </w:r>
    </w:p>
    <w:p w14:paraId="4F8117DB" w14:textId="306FC6DA" w:rsidR="00E82109" w:rsidRPr="00AF0626" w:rsidRDefault="00E82109" w:rsidP="00E82109">
      <w:pPr>
        <w:rPr>
          <w:b/>
        </w:rPr>
      </w:pPr>
      <w:r w:rsidRPr="00AF0626">
        <w:rPr>
          <w:b/>
        </w:rPr>
        <w:t>Value for Money Statement</w:t>
      </w:r>
      <w:r w:rsidR="00124D82">
        <w:rPr>
          <w:b/>
        </w:rPr>
        <w:t xml:space="preserve"> </w:t>
      </w:r>
      <w:r w:rsidR="00725B55">
        <w:rPr>
          <w:b/>
        </w:rPr>
        <w:t>20</w:t>
      </w:r>
      <w:r w:rsidR="00D00DB1">
        <w:rPr>
          <w:b/>
        </w:rPr>
        <w:t>2</w:t>
      </w:r>
      <w:r w:rsidR="00915D5C">
        <w:rPr>
          <w:b/>
        </w:rPr>
        <w:t>2</w:t>
      </w:r>
      <w:r w:rsidR="00725B55">
        <w:rPr>
          <w:b/>
        </w:rPr>
        <w:t xml:space="preserve"> </w:t>
      </w:r>
    </w:p>
    <w:p w14:paraId="397661F6" w14:textId="4BB2FE8A" w:rsidR="004A484F" w:rsidRDefault="004A484F" w:rsidP="00E82109">
      <w:pPr>
        <w:jc w:val="both"/>
      </w:pPr>
      <w:r>
        <w:t>VHA is a community-</w:t>
      </w:r>
      <w:r w:rsidR="004E1B2F">
        <w:t>focuse</w:t>
      </w:r>
      <w:r>
        <w:t>d housing association</w:t>
      </w:r>
      <w:r w:rsidR="00E631CC">
        <w:t>. Our mission is</w:t>
      </w:r>
      <w:r>
        <w:t xml:space="preserve"> to deliver high quality services and provide new homes for households on the Isle of Wight.  Th</w:t>
      </w:r>
      <w:r w:rsidR="00EA0E5D">
        <w:t>e latter</w:t>
      </w:r>
      <w:r w:rsidR="00E631CC">
        <w:t xml:space="preserve"> has involved a major programme of growth requiring </w:t>
      </w:r>
      <w:r>
        <w:t xml:space="preserve">significant levels of investment which must be funded through rental income coupled with capital grants.  Maintaining </w:t>
      </w:r>
      <w:r w:rsidR="00E82109" w:rsidRPr="000A3EBF">
        <w:t xml:space="preserve">Value for Money (VfM) </w:t>
      </w:r>
      <w:r w:rsidR="00077DCC">
        <w:t xml:space="preserve">and achieving high rates of Return on Investment (ROI) </w:t>
      </w:r>
      <w:r w:rsidR="00E631CC">
        <w:t>are</w:t>
      </w:r>
      <w:r w:rsidR="00E82109" w:rsidRPr="000A3EBF">
        <w:t xml:space="preserve"> c</w:t>
      </w:r>
      <w:r w:rsidR="00EA0E5D">
        <w:t>ore</w:t>
      </w:r>
      <w:r w:rsidR="00E82109" w:rsidRPr="000A3EBF">
        <w:t xml:space="preserve"> to delivering </w:t>
      </w:r>
      <w:r w:rsidR="00E82109">
        <w:t>our Business Strategy.</w:t>
      </w:r>
      <w:r w:rsidR="00E82109" w:rsidRPr="000A3EBF">
        <w:t xml:space="preserve"> </w:t>
      </w:r>
      <w:r w:rsidR="00E82109">
        <w:t xml:space="preserve"> </w:t>
      </w:r>
      <w:r w:rsidR="00E82109" w:rsidRPr="000A3EBF">
        <w:t xml:space="preserve"> </w:t>
      </w:r>
    </w:p>
    <w:p w14:paraId="14D23DF3" w14:textId="26F28829" w:rsidR="00D52977" w:rsidRDefault="00E631CC" w:rsidP="00E82109">
      <w:pPr>
        <w:jc w:val="both"/>
      </w:pPr>
      <w:r>
        <w:t xml:space="preserve">Having </w:t>
      </w:r>
      <w:r w:rsidR="002C588D">
        <w:t>navigated</w:t>
      </w:r>
      <w:r>
        <w:t xml:space="preserve"> </w:t>
      </w:r>
      <w:r w:rsidR="00AB2C0E">
        <w:t xml:space="preserve">the challenges of </w:t>
      </w:r>
      <w:r w:rsidR="001054F0">
        <w:t>2020</w:t>
      </w:r>
      <w:r w:rsidR="00AB2C0E">
        <w:t>, 2021</w:t>
      </w:r>
      <w:r w:rsidR="001054F0">
        <w:t xml:space="preserve"> has </w:t>
      </w:r>
      <w:r w:rsidR="002C588D">
        <w:t>proved</w:t>
      </w:r>
      <w:r w:rsidR="001054F0">
        <w:t xml:space="preserve"> </w:t>
      </w:r>
      <w:r w:rsidR="00AB2C0E">
        <w:t>no less</w:t>
      </w:r>
      <w:r w:rsidR="001054F0">
        <w:t xml:space="preserve"> challenging.  The need </w:t>
      </w:r>
      <w:r w:rsidR="002C588D">
        <w:t>for</w:t>
      </w:r>
      <w:r w:rsidR="001054F0">
        <w:t xml:space="preserve"> lockdowns and remote working has placed </w:t>
      </w:r>
      <w:r w:rsidR="002C588D">
        <w:t xml:space="preserve">continued </w:t>
      </w:r>
      <w:r w:rsidR="001054F0">
        <w:t xml:space="preserve">demands on organisational </w:t>
      </w:r>
      <w:r w:rsidR="00960356">
        <w:t>capacity but</w:t>
      </w:r>
      <w:r w:rsidR="002C588D">
        <w:t xml:space="preserve"> demands that we have managed well</w:t>
      </w:r>
      <w:r w:rsidR="001054F0">
        <w:t xml:space="preserve">.  </w:t>
      </w:r>
      <w:r w:rsidR="002C588D">
        <w:t>T</w:t>
      </w:r>
      <w:r w:rsidR="001054F0">
        <w:t xml:space="preserve">he investment made in previous years to create a robust and flexible organisation as part of an effective Business Continuity Plan has proven money well spent.  </w:t>
      </w:r>
      <w:r w:rsidR="00B85A9B">
        <w:t>We have maintained a</w:t>
      </w:r>
      <w:r w:rsidR="004A484F">
        <w:t xml:space="preserve"> balanced programme of growth</w:t>
      </w:r>
      <w:r w:rsidR="00EA0E5D">
        <w:t>, high quality services</w:t>
      </w:r>
      <w:r w:rsidR="004A484F">
        <w:t xml:space="preserve"> and organisational </w:t>
      </w:r>
      <w:r w:rsidR="00D52977">
        <w:t>investment</w:t>
      </w:r>
      <w:r w:rsidR="00B85A9B">
        <w:t>.  We have also extended our activities to partner with organisations provided specialist and supported housing. This has been driven by a commitment by our Board to take seriously our position as the key Island-based association and deliver housing outcomes focused on the Island’s needs.</w:t>
      </w:r>
      <w:r w:rsidR="00D52977">
        <w:t xml:space="preserve">  </w:t>
      </w:r>
    </w:p>
    <w:p w14:paraId="14F332C3" w14:textId="29274E86" w:rsidR="001054F0" w:rsidRDefault="00960356" w:rsidP="001054F0">
      <w:pPr>
        <w:jc w:val="both"/>
      </w:pPr>
      <w:r>
        <w:t>T</w:t>
      </w:r>
      <w:r w:rsidR="001054F0">
        <w:t xml:space="preserve">he need to deliver </w:t>
      </w:r>
      <w:r>
        <w:t>remains a cornerstone of our operations</w:t>
      </w:r>
      <w:r w:rsidR="001054F0">
        <w:t xml:space="preserve">.  So, </w:t>
      </w:r>
      <w:r>
        <w:t xml:space="preserve">during 2021 </w:t>
      </w:r>
      <w:r w:rsidR="001054F0">
        <w:t xml:space="preserve">we delivered </w:t>
      </w:r>
      <w:r w:rsidR="00D92760">
        <w:t xml:space="preserve">14 </w:t>
      </w:r>
      <w:r w:rsidR="001054F0">
        <w:t>new homes</w:t>
      </w:r>
      <w:r w:rsidR="005E3BE7">
        <w:t xml:space="preserve"> and are</w:t>
      </w:r>
      <w:r w:rsidR="001054F0">
        <w:t xml:space="preserve"> on site with </w:t>
      </w:r>
      <w:r w:rsidR="005E3BE7">
        <w:t>56</w:t>
      </w:r>
      <w:r w:rsidR="001054F0">
        <w:t xml:space="preserve"> more.  </w:t>
      </w:r>
      <w:r w:rsidR="005E3BE7">
        <w:t>H</w:t>
      </w:r>
      <w:r w:rsidR="001054F0">
        <w:t>av</w:t>
      </w:r>
      <w:r w:rsidR="005E3BE7">
        <w:t>ing</w:t>
      </w:r>
      <w:r w:rsidR="001054F0">
        <w:t xml:space="preserve"> brought into letting 9 flats for people with learning difficulties</w:t>
      </w:r>
      <w:r w:rsidR="005E3BE7">
        <w:t xml:space="preserve"> we have had initial discussions about 24 additional units</w:t>
      </w:r>
      <w:r w:rsidR="001054F0">
        <w:t xml:space="preserve">.  We </w:t>
      </w:r>
      <w:r w:rsidR="00DE5F68">
        <w:t xml:space="preserve">are </w:t>
      </w:r>
      <w:r w:rsidR="001054F0">
        <w:t>piloting the first Rent-to-Buy scheme on the Island and have continued to maintain and invest in our housing stock.</w:t>
      </w:r>
    </w:p>
    <w:p w14:paraId="5D669DDF" w14:textId="56085171" w:rsidR="00D52977" w:rsidRDefault="005E3BE7" w:rsidP="00E82109">
      <w:pPr>
        <w:jc w:val="both"/>
      </w:pPr>
      <w:r>
        <w:t>Our operating environment</w:t>
      </w:r>
      <w:r w:rsidR="00B85A9B">
        <w:t xml:space="preserve"> </w:t>
      </w:r>
      <w:r w:rsidR="00EA0E5D">
        <w:t xml:space="preserve">has been </w:t>
      </w:r>
      <w:r w:rsidR="001256D4">
        <w:t>challenging</w:t>
      </w:r>
      <w:r w:rsidR="00BB7B5C">
        <w:t xml:space="preserve">.  </w:t>
      </w:r>
      <w:r w:rsidR="00B85A9B">
        <w:t>W</w:t>
      </w:r>
      <w:r w:rsidR="00EA0E5D">
        <w:t xml:space="preserve">e have had </w:t>
      </w:r>
      <w:r w:rsidR="00B85A9B">
        <w:t xml:space="preserve">to </w:t>
      </w:r>
      <w:r w:rsidR="00BB7B5C">
        <w:t xml:space="preserve">contend with </w:t>
      </w:r>
      <w:r w:rsidR="001054F0">
        <w:t xml:space="preserve">increasing </w:t>
      </w:r>
      <w:r w:rsidR="001256D4">
        <w:t xml:space="preserve">labour and material costs, a relatively limited market for driving competition on the Island and an increased level of housing and financial need among Island households.  </w:t>
      </w:r>
    </w:p>
    <w:p w14:paraId="5F5E6D47" w14:textId="242F8B46" w:rsidR="00E82154" w:rsidRDefault="005E3BE7" w:rsidP="00E82109">
      <w:pPr>
        <w:jc w:val="both"/>
      </w:pPr>
      <w:r>
        <w:t xml:space="preserve">Our </w:t>
      </w:r>
      <w:r w:rsidR="00EA0E5D">
        <w:t xml:space="preserve">focus on </w:t>
      </w:r>
      <w:r w:rsidR="005879D8">
        <w:t>VfM</w:t>
      </w:r>
      <w:r w:rsidR="00EA0E5D">
        <w:t xml:space="preserve"> has largely been focused on</w:t>
      </w:r>
      <w:r w:rsidR="005879D8">
        <w:t xml:space="preserve"> </w:t>
      </w:r>
      <w:r w:rsidR="00EA0E5D">
        <w:t>driving</w:t>
      </w:r>
      <w:r w:rsidR="005879D8" w:rsidRPr="00D90F8A">
        <w:t xml:space="preserve"> the most out</w:t>
      </w:r>
      <w:r w:rsidR="005879D8">
        <w:t xml:space="preserve"> of what we spend </w:t>
      </w:r>
      <w:r w:rsidR="00EA0E5D">
        <w:t xml:space="preserve">and generating </w:t>
      </w:r>
      <w:r w:rsidR="005879D8" w:rsidRPr="00D90F8A">
        <w:t xml:space="preserve">qualitative improvements, </w:t>
      </w:r>
      <w:r w:rsidR="00EA0E5D">
        <w:t>e.g.</w:t>
      </w:r>
      <w:r w:rsidR="005879D8" w:rsidRPr="00D90F8A">
        <w:t xml:space="preserve"> increasing/improving services with no </w:t>
      </w:r>
      <w:r w:rsidR="005879D8">
        <w:t>increase in cost</w:t>
      </w:r>
      <w:r w:rsidR="005879D8" w:rsidRPr="00D90F8A">
        <w:t>.</w:t>
      </w:r>
      <w:r w:rsidR="005879D8">
        <w:t xml:space="preserve"> </w:t>
      </w:r>
      <w:r w:rsidR="005879D8" w:rsidRPr="00D90F8A">
        <w:t xml:space="preserve"> </w:t>
      </w:r>
      <w:r w:rsidR="001256D4">
        <w:t xml:space="preserve">We have a passionate and committed workforce </w:t>
      </w:r>
      <w:r w:rsidR="00E82154">
        <w:t xml:space="preserve">who look consistently to deliver the best outcomes within the resources </w:t>
      </w:r>
      <w:r w:rsidR="00EA0E5D">
        <w:t>available</w:t>
      </w:r>
      <w:r w:rsidR="00E82154">
        <w:t xml:space="preserve">.  This </w:t>
      </w:r>
      <w:r w:rsidR="001054F0">
        <w:t xml:space="preserve">has been reflected in the response to the challenges posed by Covid and </w:t>
      </w:r>
      <w:r w:rsidR="00E82154">
        <w:t xml:space="preserve">is </w:t>
      </w:r>
      <w:r w:rsidR="00EA0E5D">
        <w:t xml:space="preserve">often </w:t>
      </w:r>
      <w:r w:rsidR="00E82154">
        <w:t>evidenced in the</w:t>
      </w:r>
      <w:r w:rsidR="00EA0E5D">
        <w:t xml:space="preserve"> responses we receive back from tenants and partners</w:t>
      </w:r>
      <w:r w:rsidR="00E82154">
        <w:t>.</w:t>
      </w:r>
    </w:p>
    <w:p w14:paraId="7DD08E0A" w14:textId="12B35D68" w:rsidR="00E82109" w:rsidRDefault="00E82109" w:rsidP="00E82109">
      <w:pPr>
        <w:jc w:val="both"/>
      </w:pPr>
      <w:r>
        <w:t>Achieving value</w:t>
      </w:r>
      <w:r w:rsidRPr="00D90F8A">
        <w:t xml:space="preserve"> for money </w:t>
      </w:r>
      <w:r w:rsidR="006A4EB3">
        <w:t xml:space="preserve">continues to </w:t>
      </w:r>
      <w:r w:rsidR="00B07855">
        <w:t xml:space="preserve">be </w:t>
      </w:r>
      <w:r w:rsidRPr="00D90F8A">
        <w:t xml:space="preserve">about </w:t>
      </w:r>
      <w:r w:rsidR="00D85798">
        <w:t>achieving</w:t>
      </w:r>
      <w:r w:rsidRPr="00D90F8A">
        <w:t xml:space="preserve"> </w:t>
      </w:r>
      <w:r w:rsidR="00D85798">
        <w:t>a</w:t>
      </w:r>
      <w:r w:rsidRPr="00D90F8A">
        <w:t xml:space="preserve"> balance between cost </w:t>
      </w:r>
      <w:r w:rsidR="0079402B">
        <w:t>and outcomes</w:t>
      </w:r>
      <w:r w:rsidRPr="00D90F8A">
        <w:t>.</w:t>
      </w:r>
      <w:r w:rsidR="006D706B">
        <w:t xml:space="preserve">  </w:t>
      </w:r>
      <w:r w:rsidR="005879D8">
        <w:t>W</w:t>
      </w:r>
      <w:r w:rsidR="006D706B">
        <w:t xml:space="preserve">e are clear that </w:t>
      </w:r>
      <w:r w:rsidR="00E82154">
        <w:t xml:space="preserve">in </w:t>
      </w:r>
      <w:r w:rsidR="006D706B">
        <w:t xml:space="preserve">delivering a wider community service and investing in new homes, that our </w:t>
      </w:r>
      <w:r w:rsidR="00E82154">
        <w:t xml:space="preserve">approach to </w:t>
      </w:r>
      <w:r w:rsidR="006D706B">
        <w:t xml:space="preserve">efficiency must </w:t>
      </w:r>
      <w:r w:rsidR="00886C9A">
        <w:t xml:space="preserve">also </w:t>
      </w:r>
      <w:r w:rsidR="006D706B">
        <w:t xml:space="preserve">be geared towards achieving our medium- and </w:t>
      </w:r>
      <w:r w:rsidR="00E82154">
        <w:t>longer-term</w:t>
      </w:r>
      <w:r w:rsidR="006D706B">
        <w:t xml:space="preserve"> vision of investment and growth. </w:t>
      </w:r>
    </w:p>
    <w:p w14:paraId="3155C7EE" w14:textId="7B8A297A" w:rsidR="00BE31C0" w:rsidRDefault="00124D82" w:rsidP="00DE5F68">
      <w:pPr>
        <w:jc w:val="both"/>
      </w:pPr>
      <w:r w:rsidRPr="00124D82">
        <w:rPr>
          <w:iCs/>
        </w:rPr>
        <w:t xml:space="preserve">The Regulatory Framework for housing associations </w:t>
      </w:r>
      <w:r w:rsidRPr="00124D82">
        <w:t xml:space="preserve">requires </w:t>
      </w:r>
      <w:r w:rsidR="00E82154">
        <w:t xml:space="preserve">VHA as a </w:t>
      </w:r>
      <w:r w:rsidRPr="00124D82">
        <w:t>registered landlord to manage</w:t>
      </w:r>
      <w:r w:rsidR="00B07855">
        <w:t xml:space="preserve"> our</w:t>
      </w:r>
      <w:r w:rsidRPr="00124D82">
        <w:t xml:space="preserve"> resources </w:t>
      </w:r>
      <w:r w:rsidRPr="00124D82">
        <w:rPr>
          <w:b/>
          <w:bCs/>
        </w:rPr>
        <w:t>economically, efficiently and effectivel</w:t>
      </w:r>
      <w:r w:rsidRPr="00124D82">
        <w:t xml:space="preserve">y </w:t>
      </w:r>
      <w:r w:rsidR="00B07855">
        <w:t xml:space="preserve">and </w:t>
      </w:r>
      <w:r w:rsidRPr="00124D82">
        <w:t xml:space="preserve">for </w:t>
      </w:r>
      <w:r w:rsidR="00B07855">
        <w:t xml:space="preserve">our </w:t>
      </w:r>
      <w:r w:rsidRPr="00124D82">
        <w:t xml:space="preserve">Board to </w:t>
      </w:r>
      <w:r w:rsidR="00B07855">
        <w:t>be</w:t>
      </w:r>
      <w:r w:rsidRPr="00124D82">
        <w:t xml:space="preserve"> robust </w:t>
      </w:r>
      <w:r w:rsidR="00B07855">
        <w:t xml:space="preserve">in </w:t>
      </w:r>
      <w:r w:rsidR="00B07855" w:rsidRPr="00124D82">
        <w:t>articulat</w:t>
      </w:r>
      <w:r w:rsidR="00B07855">
        <w:t xml:space="preserve">ing and </w:t>
      </w:r>
      <w:r w:rsidRPr="00124D82">
        <w:t>deliver</w:t>
      </w:r>
      <w:r w:rsidR="00B07855">
        <w:t>ing</w:t>
      </w:r>
      <w:r w:rsidRPr="00124D82">
        <w:t xml:space="preserve"> VfM.  </w:t>
      </w:r>
      <w:r w:rsidR="00BB7B5C">
        <w:t xml:space="preserve">We believe that we comply </w:t>
      </w:r>
      <w:r w:rsidR="00B07855">
        <w:t xml:space="preserve">fully </w:t>
      </w:r>
      <w:r w:rsidR="00BB7B5C">
        <w:t>with this requirement.</w:t>
      </w:r>
    </w:p>
    <w:p w14:paraId="350DF741" w14:textId="77777777" w:rsidR="00BE31C0" w:rsidRDefault="00BE31C0" w:rsidP="00124D82">
      <w:pPr>
        <w:spacing w:after="0" w:line="240" w:lineRule="auto"/>
        <w:jc w:val="both"/>
      </w:pPr>
    </w:p>
    <w:p w14:paraId="0E46E715" w14:textId="7802A0CF" w:rsidR="004D36B2" w:rsidRDefault="004D36B2" w:rsidP="004D36B2">
      <w:r>
        <w:t>The VfM indicators required by the Regulator for Social Housing (see below)</w:t>
      </w:r>
    </w:p>
    <w:p w14:paraId="17E01658" w14:textId="77777777" w:rsidR="00410FC8" w:rsidRDefault="00410FC8" w:rsidP="004D36B2"/>
    <w:tbl>
      <w:tblPr>
        <w:tblStyle w:val="TableGrid"/>
        <w:tblW w:w="0" w:type="auto"/>
        <w:tblLook w:val="04A0" w:firstRow="1" w:lastRow="0" w:firstColumn="1" w:lastColumn="0" w:noHBand="0" w:noVBand="1"/>
      </w:tblPr>
      <w:tblGrid>
        <w:gridCol w:w="4390"/>
        <w:gridCol w:w="1417"/>
        <w:gridCol w:w="1418"/>
        <w:gridCol w:w="1502"/>
      </w:tblGrid>
      <w:tr w:rsidR="004D36B2" w14:paraId="3F89B32C" w14:textId="77777777" w:rsidTr="00FE6A73">
        <w:tc>
          <w:tcPr>
            <w:tcW w:w="4390" w:type="dxa"/>
            <w:shd w:val="clear" w:color="auto" w:fill="BFBFBF" w:themeFill="background1" w:themeFillShade="BF"/>
          </w:tcPr>
          <w:p w14:paraId="511BBEB6" w14:textId="77777777" w:rsidR="004D36B2" w:rsidRPr="00475035" w:rsidRDefault="004D36B2" w:rsidP="00FE6A73">
            <w:pPr>
              <w:jc w:val="both"/>
            </w:pPr>
            <w:r>
              <w:lastRenderedPageBreak/>
              <w:t>Regulator for Social Housing Indicator</w:t>
            </w:r>
          </w:p>
        </w:tc>
        <w:tc>
          <w:tcPr>
            <w:tcW w:w="1417" w:type="dxa"/>
            <w:shd w:val="clear" w:color="auto" w:fill="BFBFBF" w:themeFill="background1" w:themeFillShade="BF"/>
          </w:tcPr>
          <w:p w14:paraId="30701ACB" w14:textId="2D7BC6B4" w:rsidR="004D36B2" w:rsidRDefault="00D5327B" w:rsidP="00FE6A73">
            <w:pPr>
              <w:jc w:val="center"/>
            </w:pPr>
            <w:r>
              <w:t>2021</w:t>
            </w:r>
          </w:p>
        </w:tc>
        <w:tc>
          <w:tcPr>
            <w:tcW w:w="1418" w:type="dxa"/>
            <w:shd w:val="clear" w:color="auto" w:fill="BFBFBF" w:themeFill="background1" w:themeFillShade="BF"/>
          </w:tcPr>
          <w:p w14:paraId="57C0ACF2" w14:textId="189B26D7" w:rsidR="004D36B2" w:rsidRDefault="00D5327B" w:rsidP="00FE6A73">
            <w:pPr>
              <w:jc w:val="center"/>
            </w:pPr>
            <w:r>
              <w:t>2022</w:t>
            </w:r>
          </w:p>
        </w:tc>
        <w:tc>
          <w:tcPr>
            <w:tcW w:w="1502" w:type="dxa"/>
            <w:shd w:val="clear" w:color="auto" w:fill="BFBFBF" w:themeFill="background1" w:themeFillShade="BF"/>
          </w:tcPr>
          <w:p w14:paraId="15B79988" w14:textId="03BEE884" w:rsidR="004D36B2" w:rsidRDefault="004D36B2" w:rsidP="00FE6A73">
            <w:pPr>
              <w:jc w:val="center"/>
            </w:pPr>
            <w:r>
              <w:t xml:space="preserve">SPBM Median </w:t>
            </w:r>
          </w:p>
        </w:tc>
      </w:tr>
      <w:tr w:rsidR="004D36B2" w14:paraId="32C3529F" w14:textId="77777777" w:rsidTr="00FE6A73">
        <w:tc>
          <w:tcPr>
            <w:tcW w:w="4390" w:type="dxa"/>
          </w:tcPr>
          <w:p w14:paraId="20AB84BD" w14:textId="77777777" w:rsidR="004D36B2" w:rsidRDefault="004D36B2" w:rsidP="00FE6A73">
            <w:pPr>
              <w:jc w:val="both"/>
            </w:pPr>
            <w:r w:rsidRPr="00475035">
              <w:t>RSH101 Operating margin (overall)</w:t>
            </w:r>
          </w:p>
          <w:p w14:paraId="6F1013C2" w14:textId="77777777" w:rsidR="004D36B2" w:rsidRDefault="004D36B2" w:rsidP="00FE6A73">
            <w:pPr>
              <w:jc w:val="both"/>
            </w:pPr>
          </w:p>
        </w:tc>
        <w:tc>
          <w:tcPr>
            <w:tcW w:w="1417" w:type="dxa"/>
          </w:tcPr>
          <w:p w14:paraId="56D2F628" w14:textId="5351D66A" w:rsidR="004D36B2" w:rsidRDefault="00ED65E8" w:rsidP="00ED65E8">
            <w:pPr>
              <w:jc w:val="center"/>
            </w:pPr>
            <w:r>
              <w:t>14.31</w:t>
            </w:r>
          </w:p>
        </w:tc>
        <w:tc>
          <w:tcPr>
            <w:tcW w:w="1418" w:type="dxa"/>
          </w:tcPr>
          <w:p w14:paraId="763A3FF5" w14:textId="65051ACA" w:rsidR="004D36B2" w:rsidRDefault="00ED65E8" w:rsidP="00FE6A73">
            <w:pPr>
              <w:jc w:val="center"/>
            </w:pPr>
            <w:r>
              <w:t>11.63</w:t>
            </w:r>
          </w:p>
        </w:tc>
        <w:tc>
          <w:tcPr>
            <w:tcW w:w="1502" w:type="dxa"/>
          </w:tcPr>
          <w:p w14:paraId="33B49BA2" w14:textId="5C52AC1E" w:rsidR="004D36B2" w:rsidRDefault="004D36B2" w:rsidP="00FE6A73">
            <w:pPr>
              <w:jc w:val="center"/>
            </w:pPr>
          </w:p>
        </w:tc>
      </w:tr>
      <w:tr w:rsidR="004D36B2" w14:paraId="732A8499" w14:textId="77777777" w:rsidTr="00FE6A73">
        <w:tc>
          <w:tcPr>
            <w:tcW w:w="4390" w:type="dxa"/>
          </w:tcPr>
          <w:p w14:paraId="0A455D28" w14:textId="77777777" w:rsidR="004D36B2" w:rsidRDefault="004D36B2" w:rsidP="00FE6A73">
            <w:pPr>
              <w:jc w:val="both"/>
            </w:pPr>
            <w:r w:rsidRPr="00475035">
              <w:t>RSH102 Operating margin (social housing lettings)</w:t>
            </w:r>
          </w:p>
          <w:p w14:paraId="22136E45" w14:textId="77777777" w:rsidR="004D36B2" w:rsidRDefault="004D36B2" w:rsidP="00FE6A73">
            <w:pPr>
              <w:jc w:val="both"/>
            </w:pPr>
          </w:p>
        </w:tc>
        <w:tc>
          <w:tcPr>
            <w:tcW w:w="1417" w:type="dxa"/>
          </w:tcPr>
          <w:p w14:paraId="5E7A2362" w14:textId="059B72B5" w:rsidR="004D36B2" w:rsidRDefault="00ED65E8" w:rsidP="00FE6A73">
            <w:pPr>
              <w:jc w:val="center"/>
            </w:pPr>
            <w:r>
              <w:t>6.68</w:t>
            </w:r>
          </w:p>
        </w:tc>
        <w:tc>
          <w:tcPr>
            <w:tcW w:w="1418" w:type="dxa"/>
          </w:tcPr>
          <w:p w14:paraId="0EAC4A09" w14:textId="73AF0AF0" w:rsidR="004D36B2" w:rsidRDefault="00D95D1B" w:rsidP="00FE6A73">
            <w:pPr>
              <w:jc w:val="center"/>
            </w:pPr>
            <w:r>
              <w:t>7.88</w:t>
            </w:r>
          </w:p>
        </w:tc>
        <w:tc>
          <w:tcPr>
            <w:tcW w:w="1502" w:type="dxa"/>
          </w:tcPr>
          <w:p w14:paraId="02A0F02C" w14:textId="6AA1DDBA" w:rsidR="004D36B2" w:rsidRDefault="004D36B2" w:rsidP="00FE6A73">
            <w:pPr>
              <w:jc w:val="center"/>
            </w:pPr>
          </w:p>
        </w:tc>
      </w:tr>
      <w:tr w:rsidR="004D36B2" w14:paraId="3CFDA744" w14:textId="77777777" w:rsidTr="00FE6A73">
        <w:tc>
          <w:tcPr>
            <w:tcW w:w="4390" w:type="dxa"/>
          </w:tcPr>
          <w:p w14:paraId="412DDFC4" w14:textId="77777777" w:rsidR="004D36B2" w:rsidRDefault="004D36B2" w:rsidP="00FE6A73">
            <w:pPr>
              <w:jc w:val="both"/>
            </w:pPr>
            <w:r w:rsidRPr="00475035">
              <w:t>RSH103 EBITDA MRI (as % interest)</w:t>
            </w:r>
          </w:p>
          <w:p w14:paraId="17EE2844" w14:textId="77777777" w:rsidR="004D36B2" w:rsidRDefault="004D36B2" w:rsidP="00FE6A73">
            <w:pPr>
              <w:jc w:val="both"/>
            </w:pPr>
          </w:p>
        </w:tc>
        <w:tc>
          <w:tcPr>
            <w:tcW w:w="1417" w:type="dxa"/>
          </w:tcPr>
          <w:p w14:paraId="268B65D0" w14:textId="378C4732" w:rsidR="004D36B2" w:rsidRDefault="00ED65E8" w:rsidP="00FE6A73">
            <w:pPr>
              <w:jc w:val="center"/>
            </w:pPr>
            <w:r>
              <w:t>256.90</w:t>
            </w:r>
          </w:p>
        </w:tc>
        <w:tc>
          <w:tcPr>
            <w:tcW w:w="1418" w:type="dxa"/>
          </w:tcPr>
          <w:p w14:paraId="4CCD9D60" w14:textId="6962E991" w:rsidR="00D95D1B" w:rsidRDefault="00D95D1B" w:rsidP="0008782F">
            <w:pPr>
              <w:jc w:val="center"/>
            </w:pPr>
            <w:r>
              <w:t>192.63</w:t>
            </w:r>
          </w:p>
        </w:tc>
        <w:tc>
          <w:tcPr>
            <w:tcW w:w="1502" w:type="dxa"/>
          </w:tcPr>
          <w:p w14:paraId="071B4A4A" w14:textId="5EC418D0" w:rsidR="004D36B2" w:rsidRDefault="004D36B2" w:rsidP="00FE6A73">
            <w:pPr>
              <w:jc w:val="center"/>
            </w:pPr>
          </w:p>
        </w:tc>
      </w:tr>
      <w:tr w:rsidR="004D36B2" w14:paraId="66EC92BA" w14:textId="77777777" w:rsidTr="00FE6A73">
        <w:tc>
          <w:tcPr>
            <w:tcW w:w="4390" w:type="dxa"/>
          </w:tcPr>
          <w:p w14:paraId="6A069FE3" w14:textId="77777777" w:rsidR="004D36B2" w:rsidRDefault="004D36B2" w:rsidP="00FE6A73">
            <w:pPr>
              <w:jc w:val="both"/>
            </w:pPr>
            <w:r w:rsidRPr="00475035">
              <w:t>RSH203 Gearing (RSH and Scorecard measure)</w:t>
            </w:r>
          </w:p>
          <w:p w14:paraId="1B30AC8C" w14:textId="77777777" w:rsidR="004D36B2" w:rsidRPr="00475035" w:rsidRDefault="004D36B2" w:rsidP="00FE6A73">
            <w:pPr>
              <w:jc w:val="both"/>
            </w:pPr>
          </w:p>
        </w:tc>
        <w:tc>
          <w:tcPr>
            <w:tcW w:w="1417" w:type="dxa"/>
          </w:tcPr>
          <w:p w14:paraId="35582B9C" w14:textId="1B9420E8" w:rsidR="004D36B2" w:rsidRDefault="00ED65E8" w:rsidP="00FE6A73">
            <w:pPr>
              <w:jc w:val="center"/>
            </w:pPr>
            <w:r>
              <w:t>27.67</w:t>
            </w:r>
          </w:p>
        </w:tc>
        <w:tc>
          <w:tcPr>
            <w:tcW w:w="1418" w:type="dxa"/>
          </w:tcPr>
          <w:p w14:paraId="128DD4B8" w14:textId="38581072" w:rsidR="004D36B2" w:rsidRDefault="0008782F" w:rsidP="00FE6A73">
            <w:pPr>
              <w:jc w:val="center"/>
            </w:pPr>
            <w:r>
              <w:t>35.72</w:t>
            </w:r>
          </w:p>
        </w:tc>
        <w:tc>
          <w:tcPr>
            <w:tcW w:w="1502" w:type="dxa"/>
          </w:tcPr>
          <w:p w14:paraId="66265089" w14:textId="23F8C126" w:rsidR="004D36B2" w:rsidRDefault="004D36B2" w:rsidP="00FE6A73">
            <w:pPr>
              <w:jc w:val="center"/>
            </w:pPr>
          </w:p>
        </w:tc>
      </w:tr>
      <w:tr w:rsidR="004D36B2" w14:paraId="2D18A4C0" w14:textId="77777777" w:rsidTr="00FE6A73">
        <w:tc>
          <w:tcPr>
            <w:tcW w:w="4390" w:type="dxa"/>
          </w:tcPr>
          <w:p w14:paraId="1CC5C62F" w14:textId="1AB8BBF4" w:rsidR="004D36B2" w:rsidRDefault="004D36B2" w:rsidP="00FE6A73">
            <w:pPr>
              <w:jc w:val="both"/>
            </w:pPr>
            <w:r w:rsidRPr="00475035">
              <w:t>RSH204 New supply delivered (social housing units)</w:t>
            </w:r>
            <w:r w:rsidR="00F87048">
              <w:t xml:space="preserve"> [as % of existing stock]</w:t>
            </w:r>
          </w:p>
          <w:p w14:paraId="6A50C007" w14:textId="77777777" w:rsidR="004D36B2" w:rsidRDefault="004D36B2" w:rsidP="00FE6A73">
            <w:pPr>
              <w:jc w:val="both"/>
            </w:pPr>
          </w:p>
        </w:tc>
        <w:tc>
          <w:tcPr>
            <w:tcW w:w="1417" w:type="dxa"/>
          </w:tcPr>
          <w:p w14:paraId="36E3CD45" w14:textId="2CB1EBF9" w:rsidR="004D36B2" w:rsidRDefault="00D5327B" w:rsidP="00FE6A73">
            <w:pPr>
              <w:jc w:val="center"/>
            </w:pPr>
            <w:r>
              <w:t>3.80</w:t>
            </w:r>
          </w:p>
        </w:tc>
        <w:tc>
          <w:tcPr>
            <w:tcW w:w="1418" w:type="dxa"/>
          </w:tcPr>
          <w:p w14:paraId="5C46AC27" w14:textId="4C259E99" w:rsidR="004D36B2" w:rsidRDefault="0008782F" w:rsidP="00FE6A73">
            <w:pPr>
              <w:jc w:val="center"/>
            </w:pPr>
            <w:r>
              <w:t>3.69</w:t>
            </w:r>
          </w:p>
        </w:tc>
        <w:tc>
          <w:tcPr>
            <w:tcW w:w="1502" w:type="dxa"/>
          </w:tcPr>
          <w:p w14:paraId="1E473713" w14:textId="1916A3A0" w:rsidR="004D36B2" w:rsidRDefault="004D36B2" w:rsidP="00FE6A73">
            <w:pPr>
              <w:jc w:val="center"/>
            </w:pPr>
          </w:p>
        </w:tc>
      </w:tr>
      <w:tr w:rsidR="004D36B2" w14:paraId="1A624D45" w14:textId="77777777" w:rsidTr="00FE6A73">
        <w:tc>
          <w:tcPr>
            <w:tcW w:w="4390" w:type="dxa"/>
          </w:tcPr>
          <w:p w14:paraId="25753337" w14:textId="77777777" w:rsidR="004D36B2" w:rsidRDefault="004D36B2" w:rsidP="00FE6A73">
            <w:pPr>
              <w:jc w:val="both"/>
            </w:pPr>
            <w:r w:rsidRPr="00475035">
              <w:t>RSH205 New supply delivered (Non-social housing units)</w:t>
            </w:r>
          </w:p>
          <w:p w14:paraId="1C3A9A2D" w14:textId="77777777" w:rsidR="004D36B2" w:rsidRDefault="004D36B2" w:rsidP="00FE6A73">
            <w:pPr>
              <w:jc w:val="both"/>
            </w:pPr>
          </w:p>
        </w:tc>
        <w:tc>
          <w:tcPr>
            <w:tcW w:w="1417" w:type="dxa"/>
          </w:tcPr>
          <w:p w14:paraId="0F3977FB" w14:textId="5A3801DF" w:rsidR="004D36B2" w:rsidRDefault="00D5327B" w:rsidP="00FE6A73">
            <w:pPr>
              <w:jc w:val="center"/>
            </w:pPr>
            <w:r>
              <w:t>-</w:t>
            </w:r>
          </w:p>
        </w:tc>
        <w:tc>
          <w:tcPr>
            <w:tcW w:w="1418" w:type="dxa"/>
          </w:tcPr>
          <w:p w14:paraId="2ABCA48A" w14:textId="34602010" w:rsidR="004D36B2" w:rsidRDefault="0008782F" w:rsidP="00FE6A73">
            <w:pPr>
              <w:jc w:val="center"/>
            </w:pPr>
            <w:r>
              <w:t>-</w:t>
            </w:r>
          </w:p>
        </w:tc>
        <w:tc>
          <w:tcPr>
            <w:tcW w:w="1502" w:type="dxa"/>
          </w:tcPr>
          <w:p w14:paraId="2200F922" w14:textId="148FFC48" w:rsidR="004D36B2" w:rsidRDefault="004D36B2" w:rsidP="00FE6A73">
            <w:pPr>
              <w:jc w:val="center"/>
            </w:pPr>
          </w:p>
        </w:tc>
      </w:tr>
      <w:tr w:rsidR="004D36B2" w14:paraId="01B03698" w14:textId="77777777" w:rsidTr="00FE6A73">
        <w:tc>
          <w:tcPr>
            <w:tcW w:w="4390" w:type="dxa"/>
          </w:tcPr>
          <w:p w14:paraId="483B0138" w14:textId="77777777" w:rsidR="004D36B2" w:rsidRDefault="004D36B2" w:rsidP="00FE6A73">
            <w:pPr>
              <w:jc w:val="both"/>
            </w:pPr>
            <w:r w:rsidRPr="00475035">
              <w:t>RSH304 Reinvestment %</w:t>
            </w:r>
          </w:p>
          <w:p w14:paraId="1AAAA12E" w14:textId="77777777" w:rsidR="004D36B2" w:rsidRDefault="004D36B2" w:rsidP="00FE6A73">
            <w:pPr>
              <w:jc w:val="both"/>
            </w:pPr>
          </w:p>
        </w:tc>
        <w:tc>
          <w:tcPr>
            <w:tcW w:w="1417" w:type="dxa"/>
          </w:tcPr>
          <w:p w14:paraId="1EF62167" w14:textId="1CBF32A9" w:rsidR="004D36B2" w:rsidRDefault="00ED65E8" w:rsidP="00FE6A73">
            <w:pPr>
              <w:jc w:val="center"/>
            </w:pPr>
            <w:r>
              <w:t>11.40</w:t>
            </w:r>
          </w:p>
        </w:tc>
        <w:tc>
          <w:tcPr>
            <w:tcW w:w="1418" w:type="dxa"/>
          </w:tcPr>
          <w:p w14:paraId="636C2F07" w14:textId="397D17DF" w:rsidR="004D36B2" w:rsidRDefault="00C9187C" w:rsidP="00FE6A73">
            <w:pPr>
              <w:jc w:val="center"/>
            </w:pPr>
            <w:r>
              <w:t>20.81</w:t>
            </w:r>
          </w:p>
        </w:tc>
        <w:tc>
          <w:tcPr>
            <w:tcW w:w="1502" w:type="dxa"/>
          </w:tcPr>
          <w:p w14:paraId="48550BBD" w14:textId="72CE10BF" w:rsidR="004D36B2" w:rsidRDefault="004D36B2" w:rsidP="00FE6A73">
            <w:pPr>
              <w:jc w:val="center"/>
            </w:pPr>
          </w:p>
        </w:tc>
      </w:tr>
      <w:tr w:rsidR="004D36B2" w14:paraId="1DA8F6E6" w14:textId="77777777" w:rsidTr="00FE6A73">
        <w:tc>
          <w:tcPr>
            <w:tcW w:w="4390" w:type="dxa"/>
          </w:tcPr>
          <w:p w14:paraId="602B0C08" w14:textId="77777777" w:rsidR="004D36B2" w:rsidRDefault="004D36B2" w:rsidP="00FE6A73">
            <w:pPr>
              <w:jc w:val="both"/>
            </w:pPr>
            <w:r w:rsidRPr="00475035">
              <w:t>RSH401 Return on Capital Employed (ROCE) %</w:t>
            </w:r>
          </w:p>
          <w:p w14:paraId="6E796C31" w14:textId="77777777" w:rsidR="004D36B2" w:rsidRDefault="004D36B2" w:rsidP="00FE6A73">
            <w:pPr>
              <w:jc w:val="both"/>
            </w:pPr>
          </w:p>
        </w:tc>
        <w:tc>
          <w:tcPr>
            <w:tcW w:w="1417" w:type="dxa"/>
          </w:tcPr>
          <w:p w14:paraId="43388A1D" w14:textId="6E0730B8" w:rsidR="004D36B2" w:rsidRDefault="00ED65E8" w:rsidP="00FE6A73">
            <w:pPr>
              <w:jc w:val="center"/>
            </w:pPr>
            <w:r>
              <w:t>1.83</w:t>
            </w:r>
          </w:p>
        </w:tc>
        <w:tc>
          <w:tcPr>
            <w:tcW w:w="1418" w:type="dxa"/>
          </w:tcPr>
          <w:p w14:paraId="6B174D2E" w14:textId="6610E6D7" w:rsidR="004D36B2" w:rsidRDefault="00C9187C" w:rsidP="00FE6A73">
            <w:pPr>
              <w:jc w:val="center"/>
            </w:pPr>
            <w:r>
              <w:t>1.88</w:t>
            </w:r>
          </w:p>
        </w:tc>
        <w:tc>
          <w:tcPr>
            <w:tcW w:w="1502" w:type="dxa"/>
          </w:tcPr>
          <w:p w14:paraId="77F8C4F6" w14:textId="6665713C" w:rsidR="004D36B2" w:rsidRDefault="004D36B2" w:rsidP="00FE6A73">
            <w:pPr>
              <w:jc w:val="center"/>
            </w:pPr>
          </w:p>
        </w:tc>
      </w:tr>
      <w:tr w:rsidR="004D36B2" w14:paraId="0E9A0BD5" w14:textId="77777777" w:rsidTr="00FE6A73">
        <w:tc>
          <w:tcPr>
            <w:tcW w:w="4390" w:type="dxa"/>
          </w:tcPr>
          <w:p w14:paraId="76148DD3" w14:textId="77777777" w:rsidR="004D36B2" w:rsidRDefault="004D36B2" w:rsidP="00FE6A73">
            <w:pPr>
              <w:jc w:val="both"/>
            </w:pPr>
            <w:r>
              <w:t xml:space="preserve">RSH 501 </w:t>
            </w:r>
            <w:r w:rsidRPr="00E83139">
              <w:t>Headline housing cost per unit</w:t>
            </w:r>
          </w:p>
          <w:p w14:paraId="0D91C14E" w14:textId="77777777" w:rsidR="004D36B2" w:rsidRPr="00475035" w:rsidRDefault="004D36B2" w:rsidP="00FE6A73">
            <w:pPr>
              <w:jc w:val="both"/>
            </w:pPr>
          </w:p>
        </w:tc>
        <w:tc>
          <w:tcPr>
            <w:tcW w:w="1417" w:type="dxa"/>
          </w:tcPr>
          <w:p w14:paraId="2BB1854F" w14:textId="24E4ECF2" w:rsidR="004D36B2" w:rsidRDefault="00ED65E8" w:rsidP="00FE6A73">
            <w:pPr>
              <w:jc w:val="center"/>
            </w:pPr>
            <w:r>
              <w:t>4,521.97</w:t>
            </w:r>
          </w:p>
        </w:tc>
        <w:tc>
          <w:tcPr>
            <w:tcW w:w="1418" w:type="dxa"/>
          </w:tcPr>
          <w:p w14:paraId="5453F579" w14:textId="396D7B14" w:rsidR="004D36B2" w:rsidRDefault="00C9187C" w:rsidP="00FE6A73">
            <w:pPr>
              <w:jc w:val="center"/>
            </w:pPr>
            <w:r>
              <w:t>4,781.69</w:t>
            </w:r>
          </w:p>
        </w:tc>
        <w:tc>
          <w:tcPr>
            <w:tcW w:w="1502" w:type="dxa"/>
          </w:tcPr>
          <w:p w14:paraId="33FD11A1" w14:textId="5CB602C1" w:rsidR="004D36B2" w:rsidRDefault="004D36B2" w:rsidP="00FE6A73">
            <w:pPr>
              <w:jc w:val="center"/>
            </w:pPr>
          </w:p>
        </w:tc>
      </w:tr>
    </w:tbl>
    <w:p w14:paraId="0B711070" w14:textId="77777777" w:rsidR="00BE31C0" w:rsidRDefault="00BE31C0" w:rsidP="00124D82">
      <w:pPr>
        <w:spacing w:after="0" w:line="240" w:lineRule="auto"/>
        <w:jc w:val="both"/>
      </w:pPr>
    </w:p>
    <w:p w14:paraId="1775169F" w14:textId="77777777" w:rsidR="00396B31" w:rsidRPr="00396B31" w:rsidRDefault="00410FC8" w:rsidP="00DE5F68">
      <w:pPr>
        <w:jc w:val="both"/>
      </w:pPr>
      <w:r w:rsidRPr="00396B31">
        <w:t>O</w:t>
      </w:r>
      <w:r w:rsidR="00F87048" w:rsidRPr="00396B31">
        <w:t xml:space="preserve">perating costs </w:t>
      </w:r>
      <w:r w:rsidRPr="00396B31">
        <w:t>have clearly increased over the year</w:t>
      </w:r>
      <w:r w:rsidR="00F87048" w:rsidRPr="00396B31">
        <w:t xml:space="preserve">, </w:t>
      </w:r>
      <w:r w:rsidRPr="00396B31">
        <w:t xml:space="preserve">which reflects a similar situation across the sector.  This has been driven by rapidly increasing costs of labour and materials in respect of maintenance and new build.  Inflation generally has seen costs take on an upward trajectory which </w:t>
      </w:r>
      <w:r w:rsidR="00396B31" w:rsidRPr="00396B31">
        <w:t xml:space="preserve">has inevitably hit our budgets. </w:t>
      </w:r>
    </w:p>
    <w:p w14:paraId="3C6D1A69" w14:textId="3E33955C" w:rsidR="00BE31C0" w:rsidRPr="00396B31" w:rsidRDefault="00396B31" w:rsidP="00DE5F68">
      <w:pPr>
        <w:jc w:val="both"/>
      </w:pPr>
      <w:r w:rsidRPr="00396B31">
        <w:t xml:space="preserve">We also continue to absorb the costs of activities that are outside the normal scope of associations of our size, which are: </w:t>
      </w:r>
    </w:p>
    <w:p w14:paraId="3F73393F" w14:textId="0699E68F" w:rsidR="00F87048" w:rsidRPr="00396B31" w:rsidRDefault="00396B31" w:rsidP="00953A09">
      <w:pPr>
        <w:pStyle w:val="ListParagraph"/>
        <w:numPr>
          <w:ilvl w:val="0"/>
          <w:numId w:val="4"/>
        </w:numPr>
        <w:ind w:left="357" w:hanging="357"/>
        <w:jc w:val="both"/>
      </w:pPr>
      <w:r w:rsidRPr="00396B31">
        <w:t>In</w:t>
      </w:r>
      <w:r w:rsidR="00F87048" w:rsidRPr="00396B31">
        <w:t>vestment in the process of developing new homes – this relates to the staff and building costs of new developments, which have not yet come into management.</w:t>
      </w:r>
    </w:p>
    <w:p w14:paraId="146A45EC" w14:textId="344A47C4" w:rsidR="00F87048" w:rsidRPr="00396B31" w:rsidRDefault="00396B31" w:rsidP="00953A09">
      <w:pPr>
        <w:pStyle w:val="ListParagraph"/>
        <w:numPr>
          <w:ilvl w:val="0"/>
          <w:numId w:val="4"/>
        </w:numPr>
        <w:ind w:left="357" w:hanging="357"/>
        <w:jc w:val="both"/>
      </w:pPr>
      <w:r w:rsidRPr="00396B31">
        <w:t>I</w:t>
      </w:r>
      <w:r w:rsidR="00F87048" w:rsidRPr="00396B31">
        <w:t>nvestment in supporting and developing communities – this is central to our values and business model</w:t>
      </w:r>
    </w:p>
    <w:p w14:paraId="0C647186" w14:textId="40CE0A68" w:rsidR="00F87048" w:rsidRPr="00396B31" w:rsidRDefault="00F87048" w:rsidP="00953A09">
      <w:pPr>
        <w:pStyle w:val="ListParagraph"/>
        <w:numPr>
          <w:ilvl w:val="0"/>
          <w:numId w:val="4"/>
        </w:numPr>
        <w:ind w:left="357" w:hanging="357"/>
        <w:jc w:val="both"/>
      </w:pPr>
      <w:r w:rsidRPr="00396B31">
        <w:t xml:space="preserve">Higher than average void, repair and arrears costs </w:t>
      </w:r>
      <w:r w:rsidR="00CB462E" w:rsidRPr="00396B31">
        <w:t xml:space="preserve">partly </w:t>
      </w:r>
      <w:r w:rsidRPr="00396B31">
        <w:t>resulting from a strategic partnership with the IoW Council to provide temporary accommodation for homeless people.</w:t>
      </w:r>
    </w:p>
    <w:p w14:paraId="70CC1A69" w14:textId="30600DD6" w:rsidR="003A717A" w:rsidRDefault="003A717A" w:rsidP="00DE5F68">
      <w:pPr>
        <w:jc w:val="both"/>
      </w:pPr>
      <w:r>
        <w:t xml:space="preserve">We have </w:t>
      </w:r>
      <w:r w:rsidR="00E60FE5">
        <w:t>retained our</w:t>
      </w:r>
      <w:r>
        <w:t xml:space="preserve"> ethos of delivering value to tenants and reduc</w:t>
      </w:r>
      <w:r w:rsidR="00E60FE5">
        <w:t>ing</w:t>
      </w:r>
      <w:r>
        <w:t xml:space="preserve"> costs where possible.  </w:t>
      </w:r>
      <w:r w:rsidR="00E60FE5">
        <w:t>Like most other housing providers, w</w:t>
      </w:r>
      <w:r>
        <w:t xml:space="preserve">e </w:t>
      </w:r>
      <w:r w:rsidR="00E60FE5">
        <w:t xml:space="preserve">have battled to control and mitigate the impact of soaring prices and material shortages over a prolonged period.  </w:t>
      </w:r>
      <w:r>
        <w:t xml:space="preserve"> We continue to post repairs and maintenance costs </w:t>
      </w:r>
      <w:r w:rsidR="007303A2">
        <w:t xml:space="preserve">broadly </w:t>
      </w:r>
      <w:r w:rsidR="005879D8">
        <w:t>in line with</w:t>
      </w:r>
      <w:r w:rsidR="007303A2">
        <w:t xml:space="preserve"> </w:t>
      </w:r>
      <w:r>
        <w:t xml:space="preserve">our peers and have </w:t>
      </w:r>
      <w:r w:rsidR="005879D8">
        <w:t>a</w:t>
      </w:r>
      <w:r>
        <w:t xml:space="preserve"> </w:t>
      </w:r>
      <w:r w:rsidR="005879D8">
        <w:t>positive</w:t>
      </w:r>
      <w:r>
        <w:t xml:space="preserve"> balance between responsive and planned maintenance.</w:t>
      </w:r>
    </w:p>
    <w:p w14:paraId="611E18EA" w14:textId="11A08F56" w:rsidR="003A717A" w:rsidRDefault="003A717A" w:rsidP="00DE5F68">
      <w:pPr>
        <w:jc w:val="both"/>
      </w:pPr>
      <w:r>
        <w:t xml:space="preserve">We have worked to create a value for money culture within VHA.  </w:t>
      </w:r>
      <w:r w:rsidR="007303A2">
        <w:t>Our</w:t>
      </w:r>
      <w:r>
        <w:t xml:space="preserve"> focus on </w:t>
      </w:r>
      <w:r w:rsidR="00B07855">
        <w:t xml:space="preserve">cost </w:t>
      </w:r>
      <w:r>
        <w:t>saving</w:t>
      </w:r>
      <w:r w:rsidR="007303A2">
        <w:t xml:space="preserve"> has been predicated on </w:t>
      </w:r>
      <w:r w:rsidR="00E27FEE">
        <w:t>our</w:t>
      </w:r>
      <w:r w:rsidR="007303A2">
        <w:t xml:space="preserve"> commitment to support residents through incredibly challenging times and to continue to invest</w:t>
      </w:r>
      <w:r>
        <w:t xml:space="preserve"> </w:t>
      </w:r>
      <w:r w:rsidR="007303A2">
        <w:t>in our homes.  We also remain acutely aware of our obligation to the many households on the Isle of Wight who are in desperate need of affordable</w:t>
      </w:r>
      <w:r w:rsidR="00E27FEE">
        <w:t xml:space="preserve"> accommodation.  our interpretation of value is therefore a clear focus on achieving the maximum outcome from the </w:t>
      </w:r>
      <w:r w:rsidR="00E27FEE">
        <w:lastRenderedPageBreak/>
        <w:t xml:space="preserve">resources we have available.  All </w:t>
      </w:r>
      <w:r w:rsidR="00B07855">
        <w:t xml:space="preserve">investment </w:t>
      </w:r>
      <w:r>
        <w:t xml:space="preserve">decisions </w:t>
      </w:r>
      <w:r w:rsidR="00B07855">
        <w:t xml:space="preserve">are made </w:t>
      </w:r>
      <w:r>
        <w:t>to sustain our planned growth moving forward</w:t>
      </w:r>
      <w:r w:rsidR="00B07855">
        <w:t xml:space="preserve"> and </w:t>
      </w:r>
      <w:r>
        <w:t xml:space="preserve">within the strategic context of the Business Plan.    </w:t>
      </w:r>
    </w:p>
    <w:p w14:paraId="2B4A798F" w14:textId="4F8FD20D" w:rsidR="00124D82" w:rsidRPr="00124D82" w:rsidRDefault="00124D82" w:rsidP="00DE5F68">
      <w:pPr>
        <w:spacing w:afterLines="200" w:after="480"/>
        <w:jc w:val="both"/>
      </w:pPr>
      <w:r>
        <w:t xml:space="preserve">We have produced a </w:t>
      </w:r>
      <w:r w:rsidRPr="00124D82">
        <w:t xml:space="preserve">VfM Statement </w:t>
      </w:r>
      <w:r w:rsidR="004D36B2">
        <w:t xml:space="preserve">and Policy </w:t>
      </w:r>
      <w:r>
        <w:t>that can be viewed and downloaded from our website</w:t>
      </w:r>
      <w:r w:rsidRPr="00124D82">
        <w:t xml:space="preserve">. </w:t>
      </w:r>
      <w:r>
        <w:t xml:space="preserve">  A summary of this statement will also be sent to all residents in an edition of our Tenants’ Newsletter.</w:t>
      </w:r>
    </w:p>
    <w:p w14:paraId="63262A94" w14:textId="77777777" w:rsidR="00E82109" w:rsidRDefault="00E82109" w:rsidP="00E82109">
      <w:pPr>
        <w:jc w:val="both"/>
      </w:pPr>
    </w:p>
    <w:p w14:paraId="4A3C627B" w14:textId="44AC4A13" w:rsidR="00E1280E" w:rsidRDefault="00E1280E" w:rsidP="00E82109">
      <w:pPr>
        <w:jc w:val="both"/>
      </w:pPr>
      <w:r>
        <w:t>August 20</w:t>
      </w:r>
      <w:r w:rsidR="00B70AD2">
        <w:t>2</w:t>
      </w:r>
      <w:r w:rsidR="00AE60BB">
        <w:t>2</w:t>
      </w:r>
    </w:p>
    <w:p w14:paraId="03FAC45A" w14:textId="464B6897" w:rsidR="00622F83" w:rsidRDefault="00622F83" w:rsidP="00E82109">
      <w:pPr>
        <w:jc w:val="both"/>
      </w:pPr>
    </w:p>
    <w:p w14:paraId="55F85606" w14:textId="330916F9" w:rsidR="00622F83" w:rsidRDefault="00622F83" w:rsidP="00E82109">
      <w:pPr>
        <w:jc w:val="both"/>
      </w:pPr>
    </w:p>
    <w:p w14:paraId="7EC30C6B" w14:textId="1BC06D65" w:rsidR="00622F83" w:rsidRDefault="00622F83" w:rsidP="00E82109">
      <w:pPr>
        <w:jc w:val="both"/>
      </w:pPr>
    </w:p>
    <w:p w14:paraId="1E80C9E3" w14:textId="77777777" w:rsidR="00A26F07" w:rsidRDefault="00A26F07" w:rsidP="00E82109">
      <w:pPr>
        <w:jc w:val="both"/>
      </w:pPr>
    </w:p>
    <w:sectPr w:rsidR="00A26F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078E"/>
    <w:multiLevelType w:val="multilevel"/>
    <w:tmpl w:val="60144B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 w15:restartNumberingAfterBreak="0">
    <w:nsid w:val="0FCF226F"/>
    <w:multiLevelType w:val="hybridMultilevel"/>
    <w:tmpl w:val="3C8C16C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6187D05"/>
    <w:multiLevelType w:val="hybridMultilevel"/>
    <w:tmpl w:val="AF2003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A4B3277"/>
    <w:multiLevelType w:val="multilevel"/>
    <w:tmpl w:val="6346E626"/>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92476620">
    <w:abstractNumId w:val="1"/>
  </w:num>
  <w:num w:numId="2" w16cid:durableId="222260382">
    <w:abstractNumId w:val="0"/>
  </w:num>
  <w:num w:numId="3" w16cid:durableId="1325087373">
    <w:abstractNumId w:val="3"/>
  </w:num>
  <w:num w:numId="4" w16cid:durableId="595558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09"/>
    <w:rsid w:val="000037C9"/>
    <w:rsid w:val="00077DCC"/>
    <w:rsid w:val="0008782F"/>
    <w:rsid w:val="001054F0"/>
    <w:rsid w:val="00113B9F"/>
    <w:rsid w:val="00122FBC"/>
    <w:rsid w:val="00124D82"/>
    <w:rsid w:val="001256D4"/>
    <w:rsid w:val="00142835"/>
    <w:rsid w:val="001B2FF4"/>
    <w:rsid w:val="001C3A19"/>
    <w:rsid w:val="001C6B56"/>
    <w:rsid w:val="00246DF7"/>
    <w:rsid w:val="00267B26"/>
    <w:rsid w:val="002C455F"/>
    <w:rsid w:val="002C588D"/>
    <w:rsid w:val="002D4CDF"/>
    <w:rsid w:val="0030664E"/>
    <w:rsid w:val="0039058F"/>
    <w:rsid w:val="00396B31"/>
    <w:rsid w:val="003A717A"/>
    <w:rsid w:val="00404619"/>
    <w:rsid w:val="00410FC8"/>
    <w:rsid w:val="00437FFD"/>
    <w:rsid w:val="00450AC8"/>
    <w:rsid w:val="00475035"/>
    <w:rsid w:val="004A484F"/>
    <w:rsid w:val="004D36B2"/>
    <w:rsid w:val="004E1B2F"/>
    <w:rsid w:val="004F1197"/>
    <w:rsid w:val="00541905"/>
    <w:rsid w:val="005879D8"/>
    <w:rsid w:val="005A5A46"/>
    <w:rsid w:val="005E3BE7"/>
    <w:rsid w:val="00622F83"/>
    <w:rsid w:val="00660F4A"/>
    <w:rsid w:val="006A4EB3"/>
    <w:rsid w:val="006D706B"/>
    <w:rsid w:val="007138BB"/>
    <w:rsid w:val="00725B55"/>
    <w:rsid w:val="007303A2"/>
    <w:rsid w:val="00787542"/>
    <w:rsid w:val="0079402B"/>
    <w:rsid w:val="00886C9A"/>
    <w:rsid w:val="008A77E8"/>
    <w:rsid w:val="00915D5C"/>
    <w:rsid w:val="00953A09"/>
    <w:rsid w:val="00960356"/>
    <w:rsid w:val="009E69F9"/>
    <w:rsid w:val="00A26F07"/>
    <w:rsid w:val="00A75D1D"/>
    <w:rsid w:val="00A83281"/>
    <w:rsid w:val="00AB2C0E"/>
    <w:rsid w:val="00AB667D"/>
    <w:rsid w:val="00AE60BB"/>
    <w:rsid w:val="00B0741C"/>
    <w:rsid w:val="00B07855"/>
    <w:rsid w:val="00B56DE5"/>
    <w:rsid w:val="00B70AD2"/>
    <w:rsid w:val="00B85A9B"/>
    <w:rsid w:val="00B9227E"/>
    <w:rsid w:val="00BB7B5C"/>
    <w:rsid w:val="00BE31C0"/>
    <w:rsid w:val="00BF57FB"/>
    <w:rsid w:val="00C7067B"/>
    <w:rsid w:val="00C9187C"/>
    <w:rsid w:val="00CB09BF"/>
    <w:rsid w:val="00CB462E"/>
    <w:rsid w:val="00CC1A68"/>
    <w:rsid w:val="00D00DB1"/>
    <w:rsid w:val="00D12C55"/>
    <w:rsid w:val="00D13947"/>
    <w:rsid w:val="00D47F00"/>
    <w:rsid w:val="00D52977"/>
    <w:rsid w:val="00D5327B"/>
    <w:rsid w:val="00D60313"/>
    <w:rsid w:val="00D85798"/>
    <w:rsid w:val="00D92760"/>
    <w:rsid w:val="00D95D1B"/>
    <w:rsid w:val="00DE5F68"/>
    <w:rsid w:val="00E0727C"/>
    <w:rsid w:val="00E1280E"/>
    <w:rsid w:val="00E27FEE"/>
    <w:rsid w:val="00E60FE5"/>
    <w:rsid w:val="00E631CC"/>
    <w:rsid w:val="00E82109"/>
    <w:rsid w:val="00E82154"/>
    <w:rsid w:val="00E83139"/>
    <w:rsid w:val="00EA0E5D"/>
    <w:rsid w:val="00ED65E8"/>
    <w:rsid w:val="00EE2D98"/>
    <w:rsid w:val="00F42726"/>
    <w:rsid w:val="00F87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81A47"/>
  <w15:docId w15:val="{B1DC8AF2-2E1D-40A9-B4C8-3A0FA6E3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1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109"/>
    <w:pPr>
      <w:ind w:left="720"/>
      <w:contextualSpacing/>
    </w:pPr>
  </w:style>
  <w:style w:type="table" w:styleId="TableGrid">
    <w:name w:val="Table Grid"/>
    <w:basedOn w:val="TableNormal"/>
    <w:uiPriority w:val="59"/>
    <w:rsid w:val="00A26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5F68"/>
    <w:rPr>
      <w:sz w:val="16"/>
      <w:szCs w:val="16"/>
    </w:rPr>
  </w:style>
  <w:style w:type="paragraph" w:styleId="CommentText">
    <w:name w:val="annotation text"/>
    <w:basedOn w:val="Normal"/>
    <w:link w:val="CommentTextChar"/>
    <w:uiPriority w:val="99"/>
    <w:semiHidden/>
    <w:unhideWhenUsed/>
    <w:rsid w:val="00DE5F68"/>
    <w:pPr>
      <w:spacing w:line="240" w:lineRule="auto"/>
    </w:pPr>
    <w:rPr>
      <w:sz w:val="20"/>
      <w:szCs w:val="20"/>
    </w:rPr>
  </w:style>
  <w:style w:type="character" w:customStyle="1" w:styleId="CommentTextChar">
    <w:name w:val="Comment Text Char"/>
    <w:basedOn w:val="DefaultParagraphFont"/>
    <w:link w:val="CommentText"/>
    <w:uiPriority w:val="99"/>
    <w:semiHidden/>
    <w:rsid w:val="00DE5F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E5F68"/>
    <w:rPr>
      <w:b/>
      <w:bCs/>
    </w:rPr>
  </w:style>
  <w:style w:type="character" w:customStyle="1" w:styleId="CommentSubjectChar">
    <w:name w:val="Comment Subject Char"/>
    <w:basedOn w:val="CommentTextChar"/>
    <w:link w:val="CommentSubject"/>
    <w:uiPriority w:val="99"/>
    <w:semiHidden/>
    <w:rsid w:val="00DE5F6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E5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F68"/>
    <w:rPr>
      <w:rFonts w:ascii="Segoe UI" w:eastAsia="Calibri" w:hAnsi="Segoe UI" w:cs="Segoe UI"/>
      <w:sz w:val="18"/>
      <w:szCs w:val="18"/>
    </w:rPr>
  </w:style>
  <w:style w:type="paragraph" w:styleId="Revision">
    <w:name w:val="Revision"/>
    <w:hidden/>
    <w:uiPriority w:val="99"/>
    <w:semiHidden/>
    <w:rsid w:val="00D6031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Pearl</dc:creator>
  <cp:keywords/>
  <dc:description/>
  <cp:lastModifiedBy>Martyn Pearl</cp:lastModifiedBy>
  <cp:revision>3</cp:revision>
  <dcterms:created xsi:type="dcterms:W3CDTF">2022-06-20T15:29:00Z</dcterms:created>
  <dcterms:modified xsi:type="dcterms:W3CDTF">2022-06-27T09:12:00Z</dcterms:modified>
</cp:coreProperties>
</file>