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E823" w14:textId="0E0889AD" w:rsidR="00AA288F" w:rsidRPr="00AA288F" w:rsidRDefault="00AA288F">
      <w:pPr>
        <w:rPr>
          <w:b/>
          <w:sz w:val="28"/>
          <w:szCs w:val="28"/>
        </w:rPr>
      </w:pPr>
      <w:r>
        <w:rPr>
          <w:b/>
          <w:noProof/>
        </w:rPr>
        <w:drawing>
          <wp:inline distT="0" distB="0" distL="0" distR="0" wp14:anchorId="76AE539C" wp14:editId="07E3233D">
            <wp:extent cx="1194717" cy="8777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A logo.png"/>
                    <pic:cNvPicPr/>
                  </pic:nvPicPr>
                  <pic:blipFill>
                    <a:blip r:embed="rId5">
                      <a:extLst>
                        <a:ext uri="{28A0092B-C50C-407E-A947-70E740481C1C}">
                          <a14:useLocalDpi xmlns:a14="http://schemas.microsoft.com/office/drawing/2010/main" val="0"/>
                        </a:ext>
                      </a:extLst>
                    </a:blip>
                    <a:stretch>
                      <a:fillRect/>
                    </a:stretch>
                  </pic:blipFill>
                  <pic:spPr>
                    <a:xfrm>
                      <a:off x="0" y="0"/>
                      <a:ext cx="1194717" cy="877751"/>
                    </a:xfrm>
                    <a:prstGeom prst="rect">
                      <a:avLst/>
                    </a:prstGeom>
                  </pic:spPr>
                </pic:pic>
              </a:graphicData>
            </a:graphic>
          </wp:inline>
        </w:drawing>
      </w:r>
      <w:r>
        <w:rPr>
          <w:b/>
        </w:rPr>
        <w:t xml:space="preserve">  </w:t>
      </w:r>
      <w:r>
        <w:rPr>
          <w:b/>
        </w:rPr>
        <w:tab/>
      </w:r>
      <w:r>
        <w:rPr>
          <w:b/>
        </w:rPr>
        <w:tab/>
      </w:r>
      <w:r>
        <w:rPr>
          <w:b/>
        </w:rPr>
        <w:tab/>
      </w:r>
      <w:r>
        <w:rPr>
          <w:b/>
        </w:rPr>
        <w:tab/>
      </w:r>
      <w:r>
        <w:rPr>
          <w:b/>
        </w:rPr>
        <w:tab/>
      </w:r>
      <w:r w:rsidRPr="00AA288F">
        <w:rPr>
          <w:b/>
          <w:sz w:val="28"/>
          <w:szCs w:val="28"/>
        </w:rPr>
        <w:t>Value for Money Review 201</w:t>
      </w:r>
      <w:r w:rsidR="006A4AF2">
        <w:rPr>
          <w:b/>
          <w:sz w:val="28"/>
          <w:szCs w:val="28"/>
        </w:rPr>
        <w:t>9</w:t>
      </w:r>
    </w:p>
    <w:p w14:paraId="30D2F8C5" w14:textId="6565ECBB" w:rsidR="005A2B70" w:rsidRPr="005A2B70" w:rsidRDefault="005A2B70" w:rsidP="005A2B70">
      <w:pPr>
        <w:pStyle w:val="ListParagraph"/>
        <w:numPr>
          <w:ilvl w:val="0"/>
          <w:numId w:val="2"/>
        </w:numPr>
        <w:jc w:val="both"/>
        <w:rPr>
          <w:rFonts w:ascii="Calibri" w:eastAsia="Calibri" w:hAnsi="Calibri" w:cs="Times New Roman"/>
          <w:b/>
          <w:lang w:eastAsia="en-US"/>
        </w:rPr>
      </w:pPr>
      <w:r w:rsidRPr="005A2B70">
        <w:rPr>
          <w:rFonts w:ascii="Calibri" w:eastAsia="Calibri" w:hAnsi="Calibri" w:cs="Times New Roman"/>
          <w:b/>
          <w:lang w:eastAsia="en-US"/>
        </w:rPr>
        <w:t>Introduction</w:t>
      </w:r>
    </w:p>
    <w:p w14:paraId="2229CEFE" w14:textId="3A2B55CF" w:rsidR="00E8195A" w:rsidRPr="00E8195A" w:rsidRDefault="005A2B70" w:rsidP="005A2B70">
      <w:pPr>
        <w:ind w:left="360" w:hanging="360"/>
        <w:jc w:val="both"/>
        <w:rPr>
          <w:rFonts w:ascii="Calibri" w:eastAsia="Calibri" w:hAnsi="Calibri" w:cs="Times New Roman"/>
          <w:lang w:eastAsia="en-US"/>
        </w:rPr>
      </w:pPr>
      <w:r>
        <w:rPr>
          <w:rFonts w:ascii="Calibri" w:eastAsia="Calibri" w:hAnsi="Calibri" w:cs="Times New Roman"/>
          <w:lang w:eastAsia="en-US"/>
        </w:rPr>
        <w:t>1.1</w:t>
      </w:r>
      <w:r>
        <w:rPr>
          <w:rFonts w:ascii="Calibri" w:eastAsia="Calibri" w:hAnsi="Calibri" w:cs="Times New Roman"/>
          <w:lang w:eastAsia="en-US"/>
        </w:rPr>
        <w:tab/>
      </w:r>
      <w:r w:rsidR="00E8195A" w:rsidRPr="00E8195A">
        <w:rPr>
          <w:rFonts w:ascii="Calibri" w:eastAsia="Calibri" w:hAnsi="Calibri" w:cs="Times New Roman"/>
          <w:lang w:eastAsia="en-US"/>
        </w:rPr>
        <w:t xml:space="preserve">Value for Money (VfM) </w:t>
      </w:r>
      <w:r w:rsidR="00DE5DE2">
        <w:rPr>
          <w:rFonts w:ascii="Calibri" w:eastAsia="Calibri" w:hAnsi="Calibri" w:cs="Times New Roman"/>
          <w:lang w:eastAsia="en-US"/>
        </w:rPr>
        <w:t>remains</w:t>
      </w:r>
      <w:r w:rsidR="00E8195A" w:rsidRPr="00E8195A">
        <w:rPr>
          <w:rFonts w:ascii="Calibri" w:eastAsia="Calibri" w:hAnsi="Calibri" w:cs="Times New Roman"/>
          <w:lang w:eastAsia="en-US"/>
        </w:rPr>
        <w:t xml:space="preserve"> central to delivering our mission, values and Business Strategy.   As a housing association with </w:t>
      </w:r>
      <w:r w:rsidR="00DE5DE2">
        <w:rPr>
          <w:rFonts w:ascii="Calibri" w:eastAsia="Calibri" w:hAnsi="Calibri" w:cs="Times New Roman"/>
          <w:lang w:eastAsia="en-US"/>
        </w:rPr>
        <w:t xml:space="preserve">ambitions to provide high quality homes and services with </w:t>
      </w:r>
      <w:r w:rsidR="00E8195A" w:rsidRPr="00E8195A">
        <w:rPr>
          <w:rFonts w:ascii="Calibri" w:eastAsia="Calibri" w:hAnsi="Calibri" w:cs="Times New Roman"/>
          <w:lang w:eastAsia="en-US"/>
        </w:rPr>
        <w:t xml:space="preserve">limited resources we are extremely conscious of the need to manage our activities in the most effective manner </w:t>
      </w:r>
      <w:r w:rsidR="00DE5DE2">
        <w:rPr>
          <w:rFonts w:ascii="Calibri" w:eastAsia="Calibri" w:hAnsi="Calibri" w:cs="Times New Roman"/>
          <w:lang w:eastAsia="en-US"/>
        </w:rPr>
        <w:t>and</w:t>
      </w:r>
      <w:r w:rsidR="00E8195A" w:rsidRPr="00E8195A">
        <w:rPr>
          <w:rFonts w:ascii="Calibri" w:eastAsia="Calibri" w:hAnsi="Calibri" w:cs="Times New Roman"/>
          <w:lang w:eastAsia="en-US"/>
        </w:rPr>
        <w:t xml:space="preserve"> optimise productivity from our finances, staff and contractors.</w:t>
      </w:r>
    </w:p>
    <w:p w14:paraId="38F6B420" w14:textId="4E943DBA" w:rsidR="00E8195A" w:rsidRPr="00E8195A" w:rsidRDefault="005A2B70" w:rsidP="005A2B70">
      <w:pPr>
        <w:ind w:left="360" w:hanging="360"/>
        <w:jc w:val="both"/>
        <w:rPr>
          <w:rFonts w:ascii="Calibri" w:eastAsia="Calibri" w:hAnsi="Calibri" w:cs="Times New Roman"/>
          <w:lang w:eastAsia="en-US"/>
        </w:rPr>
      </w:pPr>
      <w:r>
        <w:rPr>
          <w:rFonts w:ascii="Calibri" w:eastAsia="Calibri" w:hAnsi="Calibri" w:cs="Times New Roman"/>
          <w:lang w:eastAsia="en-US"/>
        </w:rPr>
        <w:t>1.2</w:t>
      </w:r>
      <w:r>
        <w:rPr>
          <w:rFonts w:ascii="Calibri" w:eastAsia="Calibri" w:hAnsi="Calibri" w:cs="Times New Roman"/>
          <w:lang w:eastAsia="en-US"/>
        </w:rPr>
        <w:tab/>
      </w:r>
      <w:r w:rsidR="00E8195A" w:rsidRPr="00E8195A">
        <w:rPr>
          <w:rFonts w:ascii="Calibri" w:eastAsia="Calibri" w:hAnsi="Calibri" w:cs="Times New Roman"/>
          <w:lang w:eastAsia="en-US"/>
        </w:rPr>
        <w:t xml:space="preserve">Driving value has </w:t>
      </w:r>
      <w:r w:rsidR="00DE5DE2">
        <w:rPr>
          <w:rFonts w:ascii="Calibri" w:eastAsia="Calibri" w:hAnsi="Calibri" w:cs="Times New Roman"/>
          <w:lang w:eastAsia="en-US"/>
        </w:rPr>
        <w:t xml:space="preserve">been key to delivering our strategic objectives in the light of the 4-year period of rent reduction. Although this is the last year of reduction, the impact has been to remove over £820,000 from our income and thus operating surplus.  </w:t>
      </w:r>
      <w:r w:rsidR="00E8195A" w:rsidRPr="00E8195A">
        <w:rPr>
          <w:rFonts w:ascii="Calibri" w:eastAsia="Calibri" w:hAnsi="Calibri" w:cs="Times New Roman"/>
          <w:lang w:eastAsia="en-US"/>
        </w:rPr>
        <w:t xml:space="preserve"> </w:t>
      </w:r>
      <w:r w:rsidR="00DE5DE2">
        <w:rPr>
          <w:rFonts w:ascii="Calibri" w:eastAsia="Calibri" w:hAnsi="Calibri" w:cs="Times New Roman"/>
          <w:lang w:eastAsia="en-US"/>
        </w:rPr>
        <w:t>However, in delivering the objectives set in our 2015 Business Plan we have absorbed the rent reduction while increasing investment in our housing stock, organisational infrastructure, community investment and new homes.</w:t>
      </w:r>
    </w:p>
    <w:p w14:paraId="6B68FEE6" w14:textId="167416E2" w:rsidR="00E8195A" w:rsidRPr="00E8195A" w:rsidRDefault="005A2B70" w:rsidP="005A2B70">
      <w:pPr>
        <w:ind w:left="360" w:hanging="360"/>
        <w:jc w:val="both"/>
        <w:rPr>
          <w:rFonts w:ascii="Calibri" w:eastAsia="Calibri" w:hAnsi="Calibri" w:cs="Times New Roman"/>
          <w:lang w:eastAsia="en-US"/>
        </w:rPr>
      </w:pPr>
      <w:r>
        <w:rPr>
          <w:rFonts w:ascii="Calibri" w:eastAsia="Calibri" w:hAnsi="Calibri" w:cs="Times New Roman"/>
          <w:lang w:eastAsia="en-US"/>
        </w:rPr>
        <w:t>1.3</w:t>
      </w:r>
      <w:r>
        <w:rPr>
          <w:rFonts w:ascii="Calibri" w:eastAsia="Calibri" w:hAnsi="Calibri" w:cs="Times New Roman"/>
          <w:lang w:eastAsia="en-US"/>
        </w:rPr>
        <w:tab/>
      </w:r>
      <w:r w:rsidR="00334384">
        <w:rPr>
          <w:rFonts w:ascii="Calibri" w:eastAsia="Calibri" w:hAnsi="Calibri" w:cs="Times New Roman"/>
          <w:lang w:eastAsia="en-US"/>
        </w:rPr>
        <w:t>W</w:t>
      </w:r>
      <w:r w:rsidR="00E8195A" w:rsidRPr="00E8195A">
        <w:rPr>
          <w:rFonts w:ascii="Calibri" w:eastAsia="Calibri" w:hAnsi="Calibri" w:cs="Times New Roman"/>
          <w:lang w:eastAsia="en-US"/>
        </w:rPr>
        <w:t xml:space="preserve">e </w:t>
      </w:r>
      <w:r w:rsidR="00334384">
        <w:rPr>
          <w:rFonts w:ascii="Calibri" w:eastAsia="Calibri" w:hAnsi="Calibri" w:cs="Times New Roman"/>
          <w:lang w:eastAsia="en-US"/>
        </w:rPr>
        <w:t xml:space="preserve">recognise that we </w:t>
      </w:r>
      <w:r w:rsidR="00E8195A" w:rsidRPr="00E8195A">
        <w:rPr>
          <w:rFonts w:ascii="Calibri" w:eastAsia="Calibri" w:hAnsi="Calibri" w:cs="Times New Roman"/>
          <w:lang w:eastAsia="en-US"/>
        </w:rPr>
        <w:t xml:space="preserve">serve a community with an unexpectedly high level of deprivation, linked to a combination of low incomes, low educational attainment and poor health.  We </w:t>
      </w:r>
      <w:r w:rsidR="00334384">
        <w:rPr>
          <w:rFonts w:ascii="Calibri" w:eastAsia="Calibri" w:hAnsi="Calibri" w:cs="Times New Roman"/>
          <w:lang w:eastAsia="en-US"/>
        </w:rPr>
        <w:t xml:space="preserve">have remained </w:t>
      </w:r>
      <w:r w:rsidR="00E8195A" w:rsidRPr="00E8195A">
        <w:rPr>
          <w:rFonts w:ascii="Calibri" w:eastAsia="Calibri" w:hAnsi="Calibri" w:cs="Times New Roman"/>
          <w:lang w:eastAsia="en-US"/>
        </w:rPr>
        <w:t>committed to providing services that make a positive contribution to local lives within the challenging constraints of an Island economy.</w:t>
      </w:r>
    </w:p>
    <w:p w14:paraId="0C73CD17" w14:textId="61162272" w:rsidR="005A2B70" w:rsidRDefault="00204AED" w:rsidP="00204AED">
      <w:pPr>
        <w:ind w:left="360" w:hanging="360"/>
        <w:jc w:val="both"/>
        <w:rPr>
          <w:rFonts w:ascii="Calibri" w:eastAsia="Calibri" w:hAnsi="Calibri" w:cs="Times New Roman"/>
          <w:lang w:eastAsia="en-US"/>
        </w:rPr>
      </w:pPr>
      <w:r>
        <w:rPr>
          <w:rFonts w:ascii="Calibri" w:eastAsia="Calibri" w:hAnsi="Calibri" w:cs="Times New Roman"/>
          <w:lang w:eastAsia="en-US"/>
        </w:rPr>
        <w:t>1.4</w:t>
      </w:r>
      <w:r>
        <w:rPr>
          <w:rFonts w:ascii="Calibri" w:eastAsia="Calibri" w:hAnsi="Calibri" w:cs="Times New Roman"/>
          <w:lang w:eastAsia="en-US"/>
        </w:rPr>
        <w:tab/>
        <w:t xml:space="preserve">We have </w:t>
      </w:r>
      <w:r w:rsidR="00334384">
        <w:rPr>
          <w:rFonts w:ascii="Calibri" w:eastAsia="Calibri" w:hAnsi="Calibri" w:cs="Times New Roman"/>
          <w:lang w:eastAsia="en-US"/>
        </w:rPr>
        <w:t xml:space="preserve">also </w:t>
      </w:r>
      <w:r>
        <w:rPr>
          <w:rFonts w:ascii="Calibri" w:eastAsia="Calibri" w:hAnsi="Calibri" w:cs="Times New Roman"/>
          <w:lang w:eastAsia="en-US"/>
        </w:rPr>
        <w:t>recognised the strategic importance that VHA can play in providing housing at rents affordable for local households</w:t>
      </w:r>
      <w:r w:rsidR="00334384">
        <w:rPr>
          <w:rFonts w:ascii="Calibri" w:eastAsia="Calibri" w:hAnsi="Calibri" w:cs="Times New Roman"/>
          <w:lang w:eastAsia="en-US"/>
        </w:rPr>
        <w:t>,</w:t>
      </w:r>
      <w:r>
        <w:rPr>
          <w:rFonts w:ascii="Calibri" w:eastAsia="Calibri" w:hAnsi="Calibri" w:cs="Times New Roman"/>
          <w:lang w:eastAsia="en-US"/>
        </w:rPr>
        <w:t xml:space="preserve"> largely at social rent levels.  We have therefore invest</w:t>
      </w:r>
      <w:r w:rsidR="00334384">
        <w:rPr>
          <w:rFonts w:ascii="Calibri" w:eastAsia="Calibri" w:hAnsi="Calibri" w:cs="Times New Roman"/>
          <w:lang w:eastAsia="en-US"/>
        </w:rPr>
        <w:t>ed</w:t>
      </w:r>
      <w:r>
        <w:rPr>
          <w:rFonts w:ascii="Calibri" w:eastAsia="Calibri" w:hAnsi="Calibri" w:cs="Times New Roman"/>
          <w:lang w:eastAsia="en-US"/>
        </w:rPr>
        <w:t xml:space="preserve"> in growth, despite the impact of rent reduction.</w:t>
      </w:r>
    </w:p>
    <w:p w14:paraId="720B552E" w14:textId="42DC978C" w:rsidR="00335D38" w:rsidRDefault="00204AED" w:rsidP="00335D38">
      <w:pPr>
        <w:pStyle w:val="ListParagraph"/>
        <w:numPr>
          <w:ilvl w:val="0"/>
          <w:numId w:val="2"/>
        </w:numPr>
        <w:jc w:val="both"/>
        <w:rPr>
          <w:rFonts w:ascii="Calibri" w:eastAsia="Calibri" w:hAnsi="Calibri" w:cs="Times New Roman"/>
          <w:b/>
          <w:lang w:eastAsia="en-US"/>
        </w:rPr>
      </w:pPr>
      <w:r w:rsidRPr="00204AED">
        <w:rPr>
          <w:rFonts w:ascii="Calibri" w:eastAsia="Calibri" w:hAnsi="Calibri" w:cs="Times New Roman"/>
          <w:b/>
          <w:lang w:eastAsia="en-US"/>
        </w:rPr>
        <w:t>Our Approach to Value for Money</w:t>
      </w:r>
    </w:p>
    <w:p w14:paraId="23AEABA8" w14:textId="77777777" w:rsidR="00DB3A7D" w:rsidRDefault="00DB3A7D" w:rsidP="00DB3A7D">
      <w:pPr>
        <w:pStyle w:val="ListParagraph"/>
        <w:ind w:left="360"/>
        <w:jc w:val="both"/>
        <w:rPr>
          <w:rFonts w:ascii="Calibri" w:eastAsia="Calibri" w:hAnsi="Calibri" w:cs="Times New Roman"/>
          <w:b/>
          <w:lang w:eastAsia="en-US"/>
        </w:rPr>
      </w:pPr>
    </w:p>
    <w:p w14:paraId="5AC15277" w14:textId="5B436FC5" w:rsidR="00335D38" w:rsidRPr="00335D38" w:rsidRDefault="00335D38" w:rsidP="00335D38">
      <w:pPr>
        <w:pStyle w:val="ListParagraph"/>
        <w:numPr>
          <w:ilvl w:val="1"/>
          <w:numId w:val="2"/>
        </w:numPr>
        <w:jc w:val="both"/>
        <w:rPr>
          <w:rFonts w:ascii="Calibri" w:eastAsia="Calibri" w:hAnsi="Calibri" w:cs="Times New Roman"/>
          <w:b/>
          <w:lang w:eastAsia="en-US"/>
        </w:rPr>
      </w:pPr>
      <w:r w:rsidRPr="00335D38">
        <w:rPr>
          <w:rFonts w:ascii="Calibri" w:eastAsia="Calibri" w:hAnsi="Calibri" w:cs="Times New Roman"/>
          <w:iCs/>
          <w:lang w:eastAsia="en-US"/>
        </w:rPr>
        <w:t>The Regulatory Framework for housing associations, through its</w:t>
      </w:r>
      <w:r w:rsidRPr="00335D38">
        <w:rPr>
          <w:rFonts w:ascii="Calibri" w:eastAsia="Calibri" w:hAnsi="Calibri" w:cs="Times New Roman"/>
          <w:lang w:eastAsia="en-US"/>
        </w:rPr>
        <w:t xml:space="preserve"> Value for Money standard, requires registered landlords to; manage resources </w:t>
      </w:r>
      <w:r w:rsidRPr="00335D38">
        <w:rPr>
          <w:rFonts w:ascii="Calibri" w:eastAsia="Calibri" w:hAnsi="Calibri" w:cs="Times New Roman"/>
          <w:b/>
          <w:bCs/>
          <w:lang w:eastAsia="en-US"/>
        </w:rPr>
        <w:t>economically, efficiently and effectivel</w:t>
      </w:r>
      <w:r w:rsidRPr="00335D38">
        <w:rPr>
          <w:rFonts w:ascii="Calibri" w:eastAsia="Calibri" w:hAnsi="Calibri" w:cs="Times New Roman"/>
          <w:lang w:eastAsia="en-US"/>
        </w:rPr>
        <w:t xml:space="preserve">y in our provision of housing and services, for Boards to maintain a robust assessment of VfM performance and to articulate how they will deliver VfM.  </w:t>
      </w:r>
    </w:p>
    <w:p w14:paraId="4523D1A7" w14:textId="77777777" w:rsidR="00335D38" w:rsidRPr="00335D38" w:rsidRDefault="00335D38" w:rsidP="00335D38">
      <w:pPr>
        <w:pStyle w:val="ListParagraph"/>
        <w:ind w:left="360"/>
        <w:jc w:val="both"/>
        <w:rPr>
          <w:rFonts w:ascii="Calibri" w:eastAsia="Calibri" w:hAnsi="Calibri" w:cs="Times New Roman"/>
          <w:b/>
          <w:lang w:eastAsia="en-US"/>
        </w:rPr>
      </w:pPr>
    </w:p>
    <w:p w14:paraId="506CC36C" w14:textId="7A2E1B69" w:rsidR="00C15947" w:rsidRDefault="00A926DD" w:rsidP="00C15947">
      <w:pPr>
        <w:pStyle w:val="ListParagraph"/>
        <w:numPr>
          <w:ilvl w:val="1"/>
          <w:numId w:val="2"/>
        </w:numPr>
        <w:jc w:val="both"/>
        <w:rPr>
          <w:rFonts w:ascii="Calibri" w:eastAsia="Calibri" w:hAnsi="Calibri" w:cs="Times New Roman"/>
          <w:lang w:eastAsia="en-US"/>
        </w:rPr>
      </w:pPr>
      <w:r w:rsidRPr="00C15947">
        <w:rPr>
          <w:rFonts w:ascii="Calibri" w:eastAsia="Calibri" w:hAnsi="Calibri" w:cs="Times New Roman"/>
          <w:lang w:eastAsia="en-US"/>
        </w:rPr>
        <w:t xml:space="preserve">We are clear that </w:t>
      </w:r>
      <w:r w:rsidR="00E8195A" w:rsidRPr="00C15947">
        <w:rPr>
          <w:rFonts w:ascii="Calibri" w:eastAsia="Calibri" w:hAnsi="Calibri" w:cs="Times New Roman"/>
          <w:lang w:eastAsia="en-US"/>
        </w:rPr>
        <w:t xml:space="preserve">VfM is not just about saving money. While we consistently aim to get the most out of what we spend, we also look for qualitative improvements, for example increasing/improving services with no increase in cost.  </w:t>
      </w:r>
      <w:r w:rsidR="00334384">
        <w:rPr>
          <w:rFonts w:ascii="Calibri" w:eastAsia="Calibri" w:hAnsi="Calibri" w:cs="Times New Roman"/>
          <w:lang w:eastAsia="en-US"/>
        </w:rPr>
        <w:t>Our approach to delivering VfM is set out in our Value For Money Policy attached in Appendix 1.</w:t>
      </w:r>
    </w:p>
    <w:p w14:paraId="0B6B8D1E" w14:textId="77777777" w:rsidR="00C15947" w:rsidRPr="00C15947" w:rsidRDefault="00C15947" w:rsidP="00C15947">
      <w:pPr>
        <w:pStyle w:val="ListParagraph"/>
        <w:ind w:left="360"/>
        <w:jc w:val="both"/>
        <w:rPr>
          <w:rFonts w:ascii="Calibri" w:eastAsia="Calibri" w:hAnsi="Calibri" w:cs="Times New Roman"/>
          <w:lang w:eastAsia="en-US"/>
        </w:rPr>
      </w:pPr>
    </w:p>
    <w:p w14:paraId="2DA93FE4" w14:textId="086510BD" w:rsidR="00335D38" w:rsidRDefault="00E8195A" w:rsidP="00335D38">
      <w:pPr>
        <w:pStyle w:val="ListParagraph"/>
        <w:numPr>
          <w:ilvl w:val="1"/>
          <w:numId w:val="2"/>
        </w:numPr>
        <w:jc w:val="both"/>
        <w:rPr>
          <w:rFonts w:ascii="Calibri" w:eastAsia="Calibri" w:hAnsi="Calibri" w:cs="Times New Roman"/>
          <w:lang w:eastAsia="en-US"/>
        </w:rPr>
      </w:pPr>
      <w:r w:rsidRPr="00C15947">
        <w:rPr>
          <w:rFonts w:ascii="Calibri" w:eastAsia="Calibri" w:hAnsi="Calibri" w:cs="Times New Roman"/>
          <w:lang w:eastAsia="en-US"/>
        </w:rPr>
        <w:t xml:space="preserve">Achieving value for money is therefore about getting the right balance between the cost of delivering our services (economy) together with how efficient and effective we are as an organisation.  We are clear that as an association committed to delivering a wider community service and investing in new homes, that our efficiency approach must also be geared towards achieving our medium- and </w:t>
      </w:r>
      <w:r w:rsidR="0023731E" w:rsidRPr="00C15947">
        <w:rPr>
          <w:rFonts w:ascii="Calibri" w:eastAsia="Calibri" w:hAnsi="Calibri" w:cs="Times New Roman"/>
          <w:lang w:eastAsia="en-US"/>
        </w:rPr>
        <w:t>longer-term</w:t>
      </w:r>
      <w:r w:rsidRPr="00C15947">
        <w:rPr>
          <w:rFonts w:ascii="Calibri" w:eastAsia="Calibri" w:hAnsi="Calibri" w:cs="Times New Roman"/>
          <w:lang w:eastAsia="en-US"/>
        </w:rPr>
        <w:t xml:space="preserve"> vision of investment and growth. </w:t>
      </w:r>
    </w:p>
    <w:p w14:paraId="5104CBCB" w14:textId="77777777" w:rsidR="00335D38" w:rsidRPr="00335D38" w:rsidRDefault="00335D38" w:rsidP="00335D38">
      <w:pPr>
        <w:pStyle w:val="ListParagraph"/>
        <w:rPr>
          <w:rFonts w:ascii="Calibri" w:eastAsia="Calibri" w:hAnsi="Calibri" w:cs="Times New Roman"/>
          <w:lang w:eastAsia="en-US"/>
        </w:rPr>
      </w:pPr>
    </w:p>
    <w:p w14:paraId="74499482" w14:textId="77777777" w:rsidR="00335D38" w:rsidRDefault="00A926DD" w:rsidP="00335D38">
      <w:pPr>
        <w:pStyle w:val="ListParagraph"/>
        <w:numPr>
          <w:ilvl w:val="1"/>
          <w:numId w:val="2"/>
        </w:numPr>
        <w:jc w:val="both"/>
        <w:rPr>
          <w:rFonts w:ascii="Calibri" w:eastAsia="Calibri" w:hAnsi="Calibri" w:cs="Times New Roman"/>
          <w:lang w:eastAsia="en-US"/>
        </w:rPr>
      </w:pPr>
      <w:r w:rsidRPr="00335D38">
        <w:rPr>
          <w:rFonts w:ascii="Calibri" w:eastAsia="Calibri" w:hAnsi="Calibri" w:cs="Times New Roman"/>
          <w:lang w:eastAsia="en-US"/>
        </w:rPr>
        <w:lastRenderedPageBreak/>
        <w:t>We review our success in delivering our value for money programme through the following methods:</w:t>
      </w:r>
    </w:p>
    <w:p w14:paraId="45D33E4E" w14:textId="77777777" w:rsidR="00335D38" w:rsidRPr="00335D38" w:rsidRDefault="00335D38" w:rsidP="00335D38">
      <w:pPr>
        <w:pStyle w:val="ListParagraph"/>
        <w:rPr>
          <w:rFonts w:ascii="Calibri" w:eastAsia="Calibri" w:hAnsi="Calibri" w:cs="Times New Roman"/>
          <w:lang w:eastAsia="en-US"/>
        </w:rPr>
      </w:pPr>
    </w:p>
    <w:p w14:paraId="168520A1" w14:textId="77777777" w:rsidR="00335D38" w:rsidRDefault="00A926DD" w:rsidP="00335D38">
      <w:pPr>
        <w:pStyle w:val="ListParagraph"/>
        <w:numPr>
          <w:ilvl w:val="2"/>
          <w:numId w:val="2"/>
        </w:numPr>
        <w:jc w:val="both"/>
        <w:rPr>
          <w:rFonts w:ascii="Calibri" w:eastAsia="Calibri" w:hAnsi="Calibri" w:cs="Times New Roman"/>
          <w:lang w:eastAsia="en-US"/>
        </w:rPr>
      </w:pPr>
      <w:r w:rsidRPr="00335D38">
        <w:rPr>
          <w:rFonts w:ascii="Calibri" w:eastAsia="Calibri" w:hAnsi="Calibri" w:cs="Times New Roman"/>
          <w:lang w:eastAsia="en-US"/>
        </w:rPr>
        <w:t>Regular review of budgets and commissioning</w:t>
      </w:r>
    </w:p>
    <w:p w14:paraId="7F05BE91" w14:textId="328F5655" w:rsidR="00335D38" w:rsidRDefault="00A926DD" w:rsidP="00335D38">
      <w:pPr>
        <w:pStyle w:val="ListParagraph"/>
        <w:numPr>
          <w:ilvl w:val="2"/>
          <w:numId w:val="2"/>
        </w:numPr>
        <w:jc w:val="both"/>
        <w:rPr>
          <w:rFonts w:ascii="Calibri" w:eastAsia="Calibri" w:hAnsi="Calibri" w:cs="Times New Roman"/>
          <w:lang w:eastAsia="en-US"/>
        </w:rPr>
      </w:pPr>
      <w:r w:rsidRPr="00335D38">
        <w:rPr>
          <w:rFonts w:ascii="Calibri" w:eastAsia="Calibri" w:hAnsi="Calibri" w:cs="Times New Roman"/>
          <w:lang w:eastAsia="en-US"/>
        </w:rPr>
        <w:t>SHAPE Benchmarking Club –</w:t>
      </w:r>
      <w:r w:rsidR="00C15947" w:rsidRPr="00335D38">
        <w:rPr>
          <w:rFonts w:ascii="Calibri" w:eastAsia="Calibri" w:hAnsi="Calibri" w:cs="Times New Roman"/>
          <w:lang w:eastAsia="en-US"/>
        </w:rPr>
        <w:t xml:space="preserve"> </w:t>
      </w:r>
      <w:r w:rsidRPr="00335D38">
        <w:rPr>
          <w:rFonts w:ascii="Calibri" w:eastAsia="Calibri" w:hAnsi="Calibri" w:cs="Times New Roman"/>
          <w:lang w:eastAsia="en-US"/>
        </w:rPr>
        <w:t>a collection of 1</w:t>
      </w:r>
      <w:r w:rsidR="00334384">
        <w:rPr>
          <w:rFonts w:ascii="Calibri" w:eastAsia="Calibri" w:hAnsi="Calibri" w:cs="Times New Roman"/>
          <w:lang w:eastAsia="en-US"/>
        </w:rPr>
        <w:t>3</w:t>
      </w:r>
      <w:r w:rsidRPr="00335D38">
        <w:rPr>
          <w:rFonts w:ascii="Calibri" w:eastAsia="Calibri" w:hAnsi="Calibri" w:cs="Times New Roman"/>
          <w:lang w:eastAsia="en-US"/>
        </w:rPr>
        <w:t xml:space="preserve"> small housing associations across the SE England who share performance data, good practice and expertise for mutual benefit and support.  </w:t>
      </w:r>
      <w:r w:rsidR="00C15947" w:rsidRPr="00335D38">
        <w:rPr>
          <w:rFonts w:ascii="Calibri" w:eastAsia="Calibri" w:hAnsi="Calibri" w:cs="Times New Roman"/>
          <w:lang w:eastAsia="en-US"/>
        </w:rPr>
        <w:t>M</w:t>
      </w:r>
      <w:r w:rsidRPr="00335D38">
        <w:rPr>
          <w:rFonts w:ascii="Calibri" w:eastAsia="Calibri" w:hAnsi="Calibri" w:cs="Times New Roman"/>
          <w:lang w:eastAsia="en-US"/>
        </w:rPr>
        <w:t>embership of Acuity enables us to further benchmark our activities against over 1</w:t>
      </w:r>
      <w:r w:rsidR="00334384">
        <w:rPr>
          <w:rFonts w:ascii="Calibri" w:eastAsia="Calibri" w:hAnsi="Calibri" w:cs="Times New Roman"/>
          <w:lang w:eastAsia="en-US"/>
        </w:rPr>
        <w:t>4</w:t>
      </w:r>
      <w:r w:rsidRPr="00335D38">
        <w:rPr>
          <w:rFonts w:ascii="Calibri" w:eastAsia="Calibri" w:hAnsi="Calibri" w:cs="Times New Roman"/>
          <w:lang w:eastAsia="en-US"/>
        </w:rPr>
        <w:t>0 smaller associations nationally to provide an even more representative framework for comparison and analysis.</w:t>
      </w:r>
    </w:p>
    <w:p w14:paraId="13FBCC81" w14:textId="77777777" w:rsidR="00335D38" w:rsidRDefault="00A926DD" w:rsidP="00335D38">
      <w:pPr>
        <w:pStyle w:val="ListParagraph"/>
        <w:numPr>
          <w:ilvl w:val="2"/>
          <w:numId w:val="2"/>
        </w:numPr>
        <w:jc w:val="both"/>
        <w:rPr>
          <w:rFonts w:ascii="Calibri" w:eastAsia="Calibri" w:hAnsi="Calibri" w:cs="Times New Roman"/>
          <w:lang w:eastAsia="en-US"/>
        </w:rPr>
      </w:pPr>
      <w:r w:rsidRPr="00335D38">
        <w:rPr>
          <w:rFonts w:ascii="Calibri" w:eastAsia="Calibri" w:hAnsi="Calibri" w:cs="Times New Roman"/>
          <w:lang w:eastAsia="en-US"/>
        </w:rPr>
        <w:t>Vfm log – We have an organisation-wide Value for Money log, to routinely capture and report vfm initiatives and savings</w:t>
      </w:r>
    </w:p>
    <w:p w14:paraId="3D8798BE" w14:textId="77777777" w:rsidR="00335D38" w:rsidRDefault="00A926DD" w:rsidP="00335D38">
      <w:pPr>
        <w:pStyle w:val="ListParagraph"/>
        <w:numPr>
          <w:ilvl w:val="2"/>
          <w:numId w:val="2"/>
        </w:numPr>
        <w:jc w:val="both"/>
        <w:rPr>
          <w:rFonts w:ascii="Calibri" w:eastAsia="Calibri" w:hAnsi="Calibri" w:cs="Times New Roman"/>
          <w:lang w:eastAsia="en-US"/>
        </w:rPr>
      </w:pPr>
      <w:r w:rsidRPr="00335D38">
        <w:rPr>
          <w:rFonts w:ascii="Calibri" w:eastAsia="Calibri" w:hAnsi="Calibri" w:cs="Times New Roman"/>
          <w:lang w:eastAsia="en-US"/>
        </w:rPr>
        <w:t>Project Analysis – we will routinely review any new expenditure/investment decision to evaluate the impact and return on investment.</w:t>
      </w:r>
    </w:p>
    <w:p w14:paraId="7A0ACD39" w14:textId="2E3C16C4" w:rsidR="00A926DD" w:rsidRDefault="00A926DD" w:rsidP="00335D38">
      <w:pPr>
        <w:pStyle w:val="ListParagraph"/>
        <w:numPr>
          <w:ilvl w:val="2"/>
          <w:numId w:val="2"/>
        </w:numPr>
        <w:jc w:val="both"/>
        <w:rPr>
          <w:rFonts w:ascii="Calibri" w:eastAsia="Calibri" w:hAnsi="Calibri" w:cs="Times New Roman"/>
          <w:lang w:eastAsia="en-US"/>
        </w:rPr>
      </w:pPr>
      <w:r w:rsidRPr="00335D38">
        <w:rPr>
          <w:rFonts w:ascii="Calibri" w:eastAsia="Calibri" w:hAnsi="Calibri" w:cs="Times New Roman"/>
          <w:lang w:eastAsia="en-US"/>
        </w:rPr>
        <w:t>Regular VfM delivery reviews at Management Team and Operations meetings.</w:t>
      </w:r>
    </w:p>
    <w:p w14:paraId="52421F70" w14:textId="50502F75" w:rsidR="00ED2757" w:rsidRDefault="00ED2757" w:rsidP="00335D38">
      <w:pPr>
        <w:pStyle w:val="ListParagraph"/>
        <w:numPr>
          <w:ilvl w:val="2"/>
          <w:numId w:val="2"/>
        </w:numPr>
        <w:jc w:val="both"/>
        <w:rPr>
          <w:rFonts w:ascii="Calibri" w:eastAsia="Calibri" w:hAnsi="Calibri" w:cs="Times New Roman"/>
          <w:lang w:eastAsia="en-US"/>
        </w:rPr>
      </w:pPr>
      <w:r>
        <w:rPr>
          <w:rFonts w:ascii="Calibri" w:eastAsia="Calibri" w:hAnsi="Calibri" w:cs="Times New Roman"/>
          <w:lang w:eastAsia="en-US"/>
        </w:rPr>
        <w:t>Key performance indicators provided to the Regulator for Social Housing.</w:t>
      </w:r>
    </w:p>
    <w:p w14:paraId="2F397FB0" w14:textId="77777777" w:rsidR="0035014E" w:rsidRPr="00335D38" w:rsidRDefault="0035014E" w:rsidP="0035014E">
      <w:pPr>
        <w:pStyle w:val="ListParagraph"/>
        <w:jc w:val="both"/>
        <w:rPr>
          <w:rFonts w:ascii="Calibri" w:eastAsia="Calibri" w:hAnsi="Calibri" w:cs="Times New Roman"/>
          <w:lang w:eastAsia="en-US"/>
        </w:rPr>
      </w:pPr>
    </w:p>
    <w:p w14:paraId="76B2F4AD" w14:textId="45422481" w:rsidR="00204AED" w:rsidRPr="00ED2757" w:rsidRDefault="00204AED" w:rsidP="00ED2757">
      <w:pPr>
        <w:pStyle w:val="ListParagraph"/>
        <w:numPr>
          <w:ilvl w:val="0"/>
          <w:numId w:val="2"/>
        </w:numPr>
        <w:rPr>
          <w:rFonts w:ascii="Calibri" w:eastAsia="Calibri" w:hAnsi="Calibri" w:cs="Times New Roman"/>
          <w:b/>
          <w:lang w:eastAsia="en-US"/>
        </w:rPr>
      </w:pPr>
      <w:r w:rsidRPr="00ED2757">
        <w:rPr>
          <w:rFonts w:ascii="Calibri" w:eastAsia="Calibri" w:hAnsi="Calibri" w:cs="Times New Roman"/>
          <w:b/>
          <w:lang w:eastAsia="en-US"/>
        </w:rPr>
        <w:t>Our VfM Indicators</w:t>
      </w:r>
    </w:p>
    <w:p w14:paraId="0C683C95" w14:textId="21A25C99" w:rsidR="00204AED" w:rsidRDefault="00D70485" w:rsidP="009C3E0D">
      <w:pPr>
        <w:ind w:left="360" w:hanging="360"/>
        <w:rPr>
          <w:rFonts w:ascii="Calibri" w:eastAsia="Calibri" w:hAnsi="Calibri" w:cs="Times New Roman"/>
          <w:lang w:eastAsia="en-US"/>
        </w:rPr>
      </w:pPr>
      <w:r>
        <w:rPr>
          <w:rFonts w:ascii="Calibri" w:eastAsia="Calibri" w:hAnsi="Calibri" w:cs="Times New Roman"/>
          <w:lang w:eastAsia="en-US"/>
        </w:rPr>
        <w:t>3.1</w:t>
      </w:r>
      <w:r>
        <w:rPr>
          <w:rFonts w:ascii="Calibri" w:eastAsia="Calibri" w:hAnsi="Calibri" w:cs="Times New Roman"/>
          <w:lang w:eastAsia="en-US"/>
        </w:rPr>
        <w:tab/>
        <w:t>We produce a wide range of performance indicators, which enable us to compare o</w:t>
      </w:r>
      <w:r w:rsidR="009C3E0D">
        <w:rPr>
          <w:rFonts w:ascii="Calibri" w:eastAsia="Calibri" w:hAnsi="Calibri" w:cs="Times New Roman"/>
          <w:lang w:eastAsia="en-US"/>
        </w:rPr>
        <w:t>urselves with others in the sector.</w:t>
      </w:r>
    </w:p>
    <w:p w14:paraId="7394C60B" w14:textId="2A178B6D" w:rsidR="00D32FA3" w:rsidRDefault="009C3E0D" w:rsidP="009C3E0D">
      <w:pPr>
        <w:ind w:left="360" w:hanging="360"/>
        <w:rPr>
          <w:rFonts w:ascii="Calibri" w:eastAsia="Calibri" w:hAnsi="Calibri" w:cs="Times New Roman"/>
          <w:lang w:eastAsia="en-US"/>
        </w:rPr>
      </w:pPr>
      <w:r>
        <w:rPr>
          <w:rFonts w:ascii="Calibri" w:eastAsia="Calibri" w:hAnsi="Calibri" w:cs="Times New Roman"/>
          <w:lang w:eastAsia="en-US"/>
        </w:rPr>
        <w:t>3.2</w:t>
      </w:r>
      <w:r>
        <w:rPr>
          <w:rFonts w:ascii="Calibri" w:eastAsia="Calibri" w:hAnsi="Calibri" w:cs="Times New Roman"/>
          <w:lang w:eastAsia="en-US"/>
        </w:rPr>
        <w:tab/>
      </w:r>
      <w:r w:rsidR="00D32FA3">
        <w:rPr>
          <w:rFonts w:ascii="Calibri" w:eastAsia="Calibri" w:hAnsi="Calibri" w:cs="Times New Roman"/>
          <w:lang w:eastAsia="en-US"/>
        </w:rPr>
        <w:t xml:space="preserve">Set out below are four tables, which set out </w:t>
      </w:r>
      <w:r w:rsidR="00AB0882">
        <w:rPr>
          <w:rFonts w:ascii="Calibri" w:eastAsia="Calibri" w:hAnsi="Calibri" w:cs="Times New Roman"/>
          <w:lang w:eastAsia="en-US"/>
        </w:rPr>
        <w:t xml:space="preserve">the evolving </w:t>
      </w:r>
      <w:r w:rsidR="00D32FA3">
        <w:rPr>
          <w:rFonts w:ascii="Calibri" w:eastAsia="Calibri" w:hAnsi="Calibri" w:cs="Times New Roman"/>
          <w:lang w:eastAsia="en-US"/>
        </w:rPr>
        <w:t xml:space="preserve">focus on different aspects of performance.  </w:t>
      </w:r>
      <w:r w:rsidR="00D62956">
        <w:rPr>
          <w:rFonts w:ascii="Calibri" w:eastAsia="Calibri" w:hAnsi="Calibri" w:cs="Times New Roman"/>
          <w:lang w:eastAsia="en-US"/>
        </w:rPr>
        <w:t>Table 1 below sets</w:t>
      </w:r>
      <w:r w:rsidR="00AB0882">
        <w:rPr>
          <w:rFonts w:ascii="Calibri" w:eastAsia="Calibri" w:hAnsi="Calibri" w:cs="Times New Roman"/>
          <w:lang w:eastAsia="en-US"/>
        </w:rPr>
        <w:t xml:space="preserve"> out a new set of indicators required </w:t>
      </w:r>
      <w:r w:rsidR="00AB0882" w:rsidRPr="00E8195A">
        <w:rPr>
          <w:rFonts w:ascii="Calibri" w:eastAsia="Calibri" w:hAnsi="Calibri" w:cs="Times New Roman"/>
          <w:lang w:eastAsia="en-US"/>
        </w:rPr>
        <w:t>by the Regulator for Social Housing</w:t>
      </w:r>
      <w:r w:rsidR="00AB0882">
        <w:rPr>
          <w:rFonts w:ascii="Calibri" w:eastAsia="Calibri" w:hAnsi="Calibri" w:cs="Times New Roman"/>
          <w:lang w:eastAsia="en-US"/>
        </w:rPr>
        <w:t>, which came into effect from 2018.</w:t>
      </w:r>
      <w:r w:rsidR="00AB0882" w:rsidRPr="00E8195A">
        <w:rPr>
          <w:rFonts w:ascii="Calibri" w:eastAsia="Calibri" w:hAnsi="Calibri" w:cs="Times New Roman"/>
          <w:lang w:eastAsia="en-US"/>
        </w:rPr>
        <w:t xml:space="preserve"> </w:t>
      </w:r>
      <w:r w:rsidR="00D32FA3">
        <w:rPr>
          <w:rFonts w:ascii="Calibri" w:eastAsia="Calibri" w:hAnsi="Calibri" w:cs="Times New Roman"/>
          <w:lang w:eastAsia="en-US"/>
        </w:rPr>
        <w:t xml:space="preserve">The Sector Scorecard </w:t>
      </w:r>
      <w:r w:rsidR="00AB0882">
        <w:rPr>
          <w:rFonts w:ascii="Calibri" w:eastAsia="Calibri" w:hAnsi="Calibri" w:cs="Times New Roman"/>
          <w:lang w:eastAsia="en-US"/>
        </w:rPr>
        <w:t xml:space="preserve">(table 2) </w:t>
      </w:r>
      <w:r w:rsidR="00D32FA3">
        <w:rPr>
          <w:rFonts w:ascii="Calibri" w:eastAsia="Calibri" w:hAnsi="Calibri" w:cs="Times New Roman"/>
          <w:lang w:eastAsia="en-US"/>
        </w:rPr>
        <w:t xml:space="preserve">was introduced in 2017/8 in an effort to provide a more consistent, quantifiable </w:t>
      </w:r>
      <w:r w:rsidR="00AB0882">
        <w:rPr>
          <w:rFonts w:ascii="Calibri" w:eastAsia="Calibri" w:hAnsi="Calibri" w:cs="Times New Roman"/>
          <w:lang w:eastAsia="en-US"/>
        </w:rPr>
        <w:t>and auditable set of indicators.  The indicators in tables 3 and 4 were in existence previously and offer a wider perspective on operating performance and satisfaction.</w:t>
      </w:r>
    </w:p>
    <w:p w14:paraId="44FEF6AA" w14:textId="01AFCCCB" w:rsidR="00651325" w:rsidRDefault="00D32FA3" w:rsidP="00651325">
      <w:pPr>
        <w:ind w:left="360" w:hanging="360"/>
        <w:rPr>
          <w:rFonts w:ascii="Calibri" w:eastAsia="Calibri" w:hAnsi="Calibri" w:cs="Times New Roman"/>
          <w:lang w:eastAsia="en-US"/>
        </w:rPr>
      </w:pPr>
      <w:r>
        <w:rPr>
          <w:rFonts w:ascii="Calibri" w:eastAsia="Calibri" w:hAnsi="Calibri" w:cs="Times New Roman"/>
          <w:lang w:eastAsia="en-US"/>
        </w:rPr>
        <w:t>3.3</w:t>
      </w:r>
      <w:r>
        <w:rPr>
          <w:rFonts w:ascii="Calibri" w:eastAsia="Calibri" w:hAnsi="Calibri" w:cs="Times New Roman"/>
          <w:lang w:eastAsia="en-US"/>
        </w:rPr>
        <w:tab/>
      </w:r>
      <w:r w:rsidR="00651325" w:rsidRPr="00E505D8">
        <w:rPr>
          <w:rFonts w:ascii="Calibri" w:eastAsia="Calibri" w:hAnsi="Calibri" w:cs="Times New Roman"/>
          <w:b/>
          <w:bCs/>
          <w:lang w:eastAsia="en-US"/>
        </w:rPr>
        <w:t>Regulator For Social Housing Indicator</w:t>
      </w:r>
      <w:r w:rsidR="0035014E" w:rsidRPr="00E505D8">
        <w:rPr>
          <w:rFonts w:ascii="Calibri" w:eastAsia="Calibri" w:hAnsi="Calibri" w:cs="Times New Roman"/>
          <w:b/>
          <w:bCs/>
          <w:lang w:eastAsia="en-US"/>
        </w:rPr>
        <w:t>s</w:t>
      </w:r>
    </w:p>
    <w:tbl>
      <w:tblPr>
        <w:tblStyle w:val="TableGrid"/>
        <w:tblW w:w="7650" w:type="dxa"/>
        <w:tblLook w:val="04A0" w:firstRow="1" w:lastRow="0" w:firstColumn="1" w:lastColumn="0" w:noHBand="0" w:noVBand="1"/>
      </w:tblPr>
      <w:tblGrid>
        <w:gridCol w:w="3397"/>
        <w:gridCol w:w="1559"/>
        <w:gridCol w:w="1418"/>
        <w:gridCol w:w="1276"/>
      </w:tblGrid>
      <w:tr w:rsidR="003A3653" w:rsidRPr="00E8195A" w14:paraId="33054765" w14:textId="36C51E46" w:rsidTr="003A3653">
        <w:tc>
          <w:tcPr>
            <w:tcW w:w="3397" w:type="dxa"/>
            <w:shd w:val="clear" w:color="auto" w:fill="BFBFBF" w:themeFill="background1" w:themeFillShade="BF"/>
          </w:tcPr>
          <w:p w14:paraId="5EF56760"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Regulator for Social Housing Indicator</w:t>
            </w:r>
          </w:p>
        </w:tc>
        <w:tc>
          <w:tcPr>
            <w:tcW w:w="1559" w:type="dxa"/>
            <w:shd w:val="clear" w:color="auto" w:fill="BFBFBF" w:themeFill="background1" w:themeFillShade="BF"/>
          </w:tcPr>
          <w:p w14:paraId="078BB37B" w14:textId="28D19DDE" w:rsidR="003A3653" w:rsidRPr="00E8195A" w:rsidRDefault="003A3653" w:rsidP="006A4AF2">
            <w:pPr>
              <w:jc w:val="center"/>
              <w:rPr>
                <w:rFonts w:ascii="Calibri" w:eastAsia="Calibri" w:hAnsi="Calibri" w:cs="Times New Roman"/>
              </w:rPr>
            </w:pPr>
            <w:r>
              <w:rPr>
                <w:rFonts w:ascii="Calibri" w:eastAsia="Calibri" w:hAnsi="Calibri" w:cs="Times New Roman"/>
              </w:rPr>
              <w:t xml:space="preserve">VHA </w:t>
            </w:r>
            <w:r w:rsidRPr="00E8195A">
              <w:rPr>
                <w:rFonts w:ascii="Calibri" w:eastAsia="Calibri" w:hAnsi="Calibri" w:cs="Times New Roman"/>
              </w:rPr>
              <w:t>2018</w:t>
            </w:r>
          </w:p>
        </w:tc>
        <w:tc>
          <w:tcPr>
            <w:tcW w:w="1418" w:type="dxa"/>
            <w:shd w:val="clear" w:color="auto" w:fill="BFBFBF" w:themeFill="background1" w:themeFillShade="BF"/>
          </w:tcPr>
          <w:p w14:paraId="157134DA" w14:textId="4EFB0E1A" w:rsidR="003A3653" w:rsidRPr="00E8195A" w:rsidRDefault="003A3653" w:rsidP="006A4AF2">
            <w:pPr>
              <w:jc w:val="center"/>
              <w:rPr>
                <w:rFonts w:ascii="Calibri" w:eastAsia="Calibri" w:hAnsi="Calibri" w:cs="Times New Roman"/>
              </w:rPr>
            </w:pPr>
            <w:r>
              <w:rPr>
                <w:rFonts w:ascii="Calibri" w:eastAsia="Calibri" w:hAnsi="Calibri" w:cs="Times New Roman"/>
              </w:rPr>
              <w:t>VHA 2019</w:t>
            </w:r>
          </w:p>
        </w:tc>
        <w:tc>
          <w:tcPr>
            <w:tcW w:w="1276" w:type="dxa"/>
            <w:shd w:val="clear" w:color="auto" w:fill="BFBFBF" w:themeFill="background1" w:themeFillShade="BF"/>
          </w:tcPr>
          <w:p w14:paraId="432744D6" w14:textId="53ED55B1" w:rsidR="003A3653" w:rsidRPr="00E8195A" w:rsidRDefault="003A3653" w:rsidP="006A4AF2">
            <w:pPr>
              <w:jc w:val="center"/>
              <w:rPr>
                <w:rFonts w:ascii="Calibri" w:eastAsia="Calibri" w:hAnsi="Calibri" w:cs="Times New Roman"/>
              </w:rPr>
            </w:pPr>
            <w:r>
              <w:rPr>
                <w:rFonts w:ascii="Calibri" w:eastAsia="Calibri" w:hAnsi="Calibri" w:cs="Times New Roman"/>
              </w:rPr>
              <w:t>SPBM Median 2018</w:t>
            </w:r>
          </w:p>
        </w:tc>
      </w:tr>
      <w:tr w:rsidR="003A3653" w:rsidRPr="00E8195A" w14:paraId="44437558" w14:textId="5488A4AD" w:rsidTr="003A3653">
        <w:tc>
          <w:tcPr>
            <w:tcW w:w="3397" w:type="dxa"/>
          </w:tcPr>
          <w:p w14:paraId="6C90AA02"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RSH101 Operating margin (overall)</w:t>
            </w:r>
          </w:p>
          <w:p w14:paraId="04D6F109" w14:textId="77777777" w:rsidR="003A3653" w:rsidRPr="00E8195A" w:rsidRDefault="003A3653" w:rsidP="006A4AF2">
            <w:pPr>
              <w:jc w:val="both"/>
              <w:rPr>
                <w:rFonts w:ascii="Calibri" w:eastAsia="Calibri" w:hAnsi="Calibri" w:cs="Times New Roman"/>
              </w:rPr>
            </w:pPr>
          </w:p>
        </w:tc>
        <w:tc>
          <w:tcPr>
            <w:tcW w:w="1559" w:type="dxa"/>
          </w:tcPr>
          <w:p w14:paraId="44E9A5BC" w14:textId="4316E07D" w:rsidR="003A3653" w:rsidRPr="00E8195A" w:rsidRDefault="003A3653" w:rsidP="006A4AF2">
            <w:pPr>
              <w:jc w:val="center"/>
              <w:rPr>
                <w:rFonts w:ascii="Calibri" w:eastAsia="Calibri" w:hAnsi="Calibri" w:cs="Times New Roman"/>
              </w:rPr>
            </w:pPr>
            <w:r w:rsidRPr="00E8195A">
              <w:rPr>
                <w:rFonts w:ascii="Calibri" w:eastAsia="Calibri" w:hAnsi="Calibri" w:cs="Times New Roman"/>
              </w:rPr>
              <w:t>1</w:t>
            </w:r>
            <w:r>
              <w:rPr>
                <w:rFonts w:ascii="Calibri" w:eastAsia="Calibri" w:hAnsi="Calibri" w:cs="Times New Roman"/>
              </w:rPr>
              <w:t>3</w:t>
            </w:r>
            <w:r w:rsidRPr="00E8195A">
              <w:rPr>
                <w:rFonts w:ascii="Calibri" w:eastAsia="Calibri" w:hAnsi="Calibri" w:cs="Times New Roman"/>
              </w:rPr>
              <w:t>.</w:t>
            </w:r>
            <w:r>
              <w:rPr>
                <w:rFonts w:ascii="Calibri" w:eastAsia="Calibri" w:hAnsi="Calibri" w:cs="Times New Roman"/>
              </w:rPr>
              <w:t>90</w:t>
            </w:r>
          </w:p>
        </w:tc>
        <w:tc>
          <w:tcPr>
            <w:tcW w:w="1418" w:type="dxa"/>
            <w:shd w:val="clear" w:color="auto" w:fill="FBD4B4" w:themeFill="accent6" w:themeFillTint="66"/>
          </w:tcPr>
          <w:p w14:paraId="5287F15E" w14:textId="38A5CA0F" w:rsidR="003A3653" w:rsidRPr="00E8195A" w:rsidRDefault="003A3653" w:rsidP="006A4AF2">
            <w:pPr>
              <w:jc w:val="center"/>
              <w:rPr>
                <w:rFonts w:ascii="Calibri" w:eastAsia="Calibri" w:hAnsi="Calibri" w:cs="Times New Roman"/>
              </w:rPr>
            </w:pPr>
            <w:r>
              <w:rPr>
                <w:rFonts w:ascii="Calibri" w:eastAsia="Calibri" w:hAnsi="Calibri" w:cs="Times New Roman"/>
              </w:rPr>
              <w:t>11.49</w:t>
            </w:r>
          </w:p>
        </w:tc>
        <w:tc>
          <w:tcPr>
            <w:tcW w:w="1276" w:type="dxa"/>
          </w:tcPr>
          <w:p w14:paraId="19226002" w14:textId="7A9F09BF" w:rsidR="003A3653" w:rsidRPr="00E8195A" w:rsidRDefault="003A3653" w:rsidP="006A4AF2">
            <w:pPr>
              <w:jc w:val="center"/>
              <w:rPr>
                <w:rFonts w:ascii="Calibri" w:eastAsia="Calibri" w:hAnsi="Calibri" w:cs="Times New Roman"/>
              </w:rPr>
            </w:pPr>
            <w:r>
              <w:rPr>
                <w:rFonts w:ascii="Calibri" w:eastAsia="Calibri" w:hAnsi="Calibri" w:cs="Times New Roman"/>
              </w:rPr>
              <w:t>21.98</w:t>
            </w:r>
          </w:p>
        </w:tc>
      </w:tr>
      <w:tr w:rsidR="003A3653" w:rsidRPr="00E8195A" w14:paraId="661E38CF" w14:textId="56C9FA6D" w:rsidTr="003A3653">
        <w:tc>
          <w:tcPr>
            <w:tcW w:w="3397" w:type="dxa"/>
          </w:tcPr>
          <w:p w14:paraId="6AF994C5"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RSH102 Operating margin (social housing lettings)</w:t>
            </w:r>
          </w:p>
          <w:p w14:paraId="03CD47AD" w14:textId="77777777" w:rsidR="003A3653" w:rsidRPr="00E8195A" w:rsidRDefault="003A3653" w:rsidP="006A4AF2">
            <w:pPr>
              <w:jc w:val="both"/>
              <w:rPr>
                <w:rFonts w:ascii="Calibri" w:eastAsia="Calibri" w:hAnsi="Calibri" w:cs="Times New Roman"/>
              </w:rPr>
            </w:pPr>
          </w:p>
        </w:tc>
        <w:tc>
          <w:tcPr>
            <w:tcW w:w="1559" w:type="dxa"/>
          </w:tcPr>
          <w:p w14:paraId="75435FEE" w14:textId="55D84BDC" w:rsidR="003A3653" w:rsidRPr="00E8195A" w:rsidRDefault="003A3653" w:rsidP="006A4AF2">
            <w:pPr>
              <w:jc w:val="center"/>
              <w:rPr>
                <w:rFonts w:ascii="Calibri" w:eastAsia="Calibri" w:hAnsi="Calibri" w:cs="Times New Roman"/>
              </w:rPr>
            </w:pPr>
            <w:r>
              <w:rPr>
                <w:rFonts w:ascii="Calibri" w:eastAsia="Calibri" w:hAnsi="Calibri" w:cs="Times New Roman"/>
              </w:rPr>
              <w:t>21</w:t>
            </w:r>
            <w:r w:rsidRPr="00E8195A">
              <w:rPr>
                <w:rFonts w:ascii="Calibri" w:eastAsia="Calibri" w:hAnsi="Calibri" w:cs="Times New Roman"/>
              </w:rPr>
              <w:t>.</w:t>
            </w:r>
            <w:r>
              <w:rPr>
                <w:rFonts w:ascii="Calibri" w:eastAsia="Calibri" w:hAnsi="Calibri" w:cs="Times New Roman"/>
              </w:rPr>
              <w:t>55</w:t>
            </w:r>
          </w:p>
        </w:tc>
        <w:tc>
          <w:tcPr>
            <w:tcW w:w="1418" w:type="dxa"/>
            <w:shd w:val="clear" w:color="auto" w:fill="FBD4B4" w:themeFill="accent6" w:themeFillTint="66"/>
          </w:tcPr>
          <w:p w14:paraId="34C4347C" w14:textId="203DAC68" w:rsidR="003A3653" w:rsidRPr="00E8195A" w:rsidRDefault="003A3653" w:rsidP="006A4AF2">
            <w:pPr>
              <w:jc w:val="center"/>
              <w:rPr>
                <w:rFonts w:ascii="Calibri" w:eastAsia="Calibri" w:hAnsi="Calibri" w:cs="Times New Roman"/>
              </w:rPr>
            </w:pPr>
            <w:r>
              <w:rPr>
                <w:rFonts w:ascii="Calibri" w:eastAsia="Calibri" w:hAnsi="Calibri" w:cs="Times New Roman"/>
              </w:rPr>
              <w:t>13.56</w:t>
            </w:r>
          </w:p>
        </w:tc>
        <w:tc>
          <w:tcPr>
            <w:tcW w:w="1276" w:type="dxa"/>
          </w:tcPr>
          <w:p w14:paraId="1D990F4D" w14:textId="335F3EEC" w:rsidR="003A3653" w:rsidRPr="00E8195A" w:rsidRDefault="003A3653" w:rsidP="006A4AF2">
            <w:pPr>
              <w:jc w:val="center"/>
              <w:rPr>
                <w:rFonts w:ascii="Calibri" w:eastAsia="Calibri" w:hAnsi="Calibri" w:cs="Times New Roman"/>
              </w:rPr>
            </w:pPr>
            <w:r>
              <w:rPr>
                <w:rFonts w:ascii="Calibri" w:eastAsia="Calibri" w:hAnsi="Calibri" w:cs="Times New Roman"/>
              </w:rPr>
              <w:t>22.94</w:t>
            </w:r>
          </w:p>
        </w:tc>
      </w:tr>
      <w:tr w:rsidR="003A3653" w:rsidRPr="00E8195A" w14:paraId="3A9471CB" w14:textId="13ECBF70" w:rsidTr="003A3653">
        <w:tc>
          <w:tcPr>
            <w:tcW w:w="3397" w:type="dxa"/>
          </w:tcPr>
          <w:p w14:paraId="30764D25"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RSH103 EBITDA MRI (as % interest)</w:t>
            </w:r>
          </w:p>
          <w:p w14:paraId="457A4627" w14:textId="77777777" w:rsidR="003A3653" w:rsidRPr="00E8195A" w:rsidRDefault="003A3653" w:rsidP="006A4AF2">
            <w:pPr>
              <w:jc w:val="both"/>
              <w:rPr>
                <w:rFonts w:ascii="Calibri" w:eastAsia="Calibri" w:hAnsi="Calibri" w:cs="Times New Roman"/>
              </w:rPr>
            </w:pPr>
          </w:p>
        </w:tc>
        <w:tc>
          <w:tcPr>
            <w:tcW w:w="1559" w:type="dxa"/>
          </w:tcPr>
          <w:p w14:paraId="7EE22B78" w14:textId="567952CF" w:rsidR="003A3653" w:rsidRPr="00E8195A" w:rsidRDefault="003A3653" w:rsidP="006A4AF2">
            <w:pPr>
              <w:jc w:val="center"/>
              <w:rPr>
                <w:rFonts w:ascii="Calibri" w:eastAsia="Calibri" w:hAnsi="Calibri" w:cs="Times New Roman"/>
              </w:rPr>
            </w:pPr>
            <w:r>
              <w:rPr>
                <w:rFonts w:ascii="Calibri" w:eastAsia="Calibri" w:hAnsi="Calibri" w:cs="Times New Roman"/>
              </w:rPr>
              <w:t>326</w:t>
            </w:r>
            <w:r w:rsidRPr="00E8195A">
              <w:rPr>
                <w:rFonts w:ascii="Calibri" w:eastAsia="Calibri" w:hAnsi="Calibri" w:cs="Times New Roman"/>
              </w:rPr>
              <w:t>.</w:t>
            </w:r>
            <w:r>
              <w:rPr>
                <w:rFonts w:ascii="Calibri" w:eastAsia="Calibri" w:hAnsi="Calibri" w:cs="Times New Roman"/>
              </w:rPr>
              <w:t>82</w:t>
            </w:r>
          </w:p>
        </w:tc>
        <w:tc>
          <w:tcPr>
            <w:tcW w:w="1418" w:type="dxa"/>
          </w:tcPr>
          <w:p w14:paraId="45AA8A9D" w14:textId="2A609456" w:rsidR="003A3653" w:rsidRPr="00E8195A" w:rsidRDefault="003A3653" w:rsidP="006A4AF2">
            <w:pPr>
              <w:jc w:val="center"/>
              <w:rPr>
                <w:rFonts w:ascii="Calibri" w:eastAsia="Calibri" w:hAnsi="Calibri" w:cs="Times New Roman"/>
              </w:rPr>
            </w:pPr>
            <w:r>
              <w:rPr>
                <w:rFonts w:ascii="Calibri" w:eastAsia="Calibri" w:hAnsi="Calibri" w:cs="Times New Roman"/>
              </w:rPr>
              <w:t>178.38</w:t>
            </w:r>
          </w:p>
        </w:tc>
        <w:tc>
          <w:tcPr>
            <w:tcW w:w="1276" w:type="dxa"/>
          </w:tcPr>
          <w:p w14:paraId="7C78E395" w14:textId="62B60939" w:rsidR="003A3653" w:rsidRPr="00E8195A" w:rsidRDefault="003A3653" w:rsidP="006A4AF2">
            <w:pPr>
              <w:jc w:val="center"/>
              <w:rPr>
                <w:rFonts w:ascii="Calibri" w:eastAsia="Calibri" w:hAnsi="Calibri" w:cs="Times New Roman"/>
              </w:rPr>
            </w:pPr>
            <w:r>
              <w:rPr>
                <w:rFonts w:ascii="Calibri" w:eastAsia="Calibri" w:hAnsi="Calibri" w:cs="Times New Roman"/>
              </w:rPr>
              <w:t>245.5</w:t>
            </w:r>
          </w:p>
        </w:tc>
      </w:tr>
      <w:tr w:rsidR="003A3653" w:rsidRPr="00E8195A" w14:paraId="70687199" w14:textId="44BFB84D" w:rsidTr="003A3653">
        <w:tc>
          <w:tcPr>
            <w:tcW w:w="3397" w:type="dxa"/>
          </w:tcPr>
          <w:p w14:paraId="6BDE3A88"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RSH203 Gearing (RSH and Scorecard measure)</w:t>
            </w:r>
          </w:p>
          <w:p w14:paraId="47785FAD" w14:textId="77777777" w:rsidR="003A3653" w:rsidRPr="00E8195A" w:rsidRDefault="003A3653" w:rsidP="006A4AF2">
            <w:pPr>
              <w:jc w:val="both"/>
              <w:rPr>
                <w:rFonts w:ascii="Calibri" w:eastAsia="Calibri" w:hAnsi="Calibri" w:cs="Times New Roman"/>
              </w:rPr>
            </w:pPr>
          </w:p>
        </w:tc>
        <w:tc>
          <w:tcPr>
            <w:tcW w:w="1559" w:type="dxa"/>
          </w:tcPr>
          <w:p w14:paraId="6FFB5BD1" w14:textId="21F215A9" w:rsidR="003A3653" w:rsidRPr="00E8195A" w:rsidRDefault="003A3653" w:rsidP="006A4AF2">
            <w:pPr>
              <w:jc w:val="center"/>
              <w:rPr>
                <w:rFonts w:ascii="Calibri" w:eastAsia="Calibri" w:hAnsi="Calibri" w:cs="Times New Roman"/>
              </w:rPr>
            </w:pPr>
            <w:r>
              <w:rPr>
                <w:rFonts w:ascii="Calibri" w:eastAsia="Calibri" w:hAnsi="Calibri" w:cs="Times New Roman"/>
              </w:rPr>
              <w:t>19</w:t>
            </w:r>
            <w:r w:rsidRPr="00E8195A">
              <w:rPr>
                <w:rFonts w:ascii="Calibri" w:eastAsia="Calibri" w:hAnsi="Calibri" w:cs="Times New Roman"/>
              </w:rPr>
              <w:t>.</w:t>
            </w:r>
            <w:r>
              <w:rPr>
                <w:rFonts w:ascii="Calibri" w:eastAsia="Calibri" w:hAnsi="Calibri" w:cs="Times New Roman"/>
              </w:rPr>
              <w:t>95</w:t>
            </w:r>
          </w:p>
        </w:tc>
        <w:tc>
          <w:tcPr>
            <w:tcW w:w="1418" w:type="dxa"/>
          </w:tcPr>
          <w:p w14:paraId="18FE5751" w14:textId="3B6A1F5C" w:rsidR="003A3653" w:rsidRPr="00E8195A" w:rsidRDefault="003A3653" w:rsidP="006A4AF2">
            <w:pPr>
              <w:jc w:val="center"/>
              <w:rPr>
                <w:rFonts w:ascii="Calibri" w:eastAsia="Calibri" w:hAnsi="Calibri" w:cs="Times New Roman"/>
              </w:rPr>
            </w:pPr>
            <w:r>
              <w:rPr>
                <w:rFonts w:ascii="Calibri" w:eastAsia="Calibri" w:hAnsi="Calibri" w:cs="Times New Roman"/>
              </w:rPr>
              <w:t>18.21</w:t>
            </w:r>
          </w:p>
        </w:tc>
        <w:tc>
          <w:tcPr>
            <w:tcW w:w="1276" w:type="dxa"/>
          </w:tcPr>
          <w:p w14:paraId="0A0E2E7A" w14:textId="4A5BD3D1" w:rsidR="003A3653" w:rsidRDefault="003A3653" w:rsidP="006A4AF2">
            <w:pPr>
              <w:jc w:val="center"/>
              <w:rPr>
                <w:rFonts w:ascii="Calibri" w:eastAsia="Calibri" w:hAnsi="Calibri" w:cs="Times New Roman"/>
              </w:rPr>
            </w:pPr>
            <w:r>
              <w:rPr>
                <w:rFonts w:ascii="Calibri" w:eastAsia="Calibri" w:hAnsi="Calibri" w:cs="Times New Roman"/>
              </w:rPr>
              <w:t>15.7</w:t>
            </w:r>
          </w:p>
        </w:tc>
      </w:tr>
      <w:tr w:rsidR="003A3653" w:rsidRPr="00E8195A" w14:paraId="06FDEA68" w14:textId="5D19C341" w:rsidTr="003A3653">
        <w:tc>
          <w:tcPr>
            <w:tcW w:w="3397" w:type="dxa"/>
          </w:tcPr>
          <w:p w14:paraId="71DAFD1B"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RSH204 New supply delivered (social housing units) [as % of existing stock]</w:t>
            </w:r>
          </w:p>
          <w:p w14:paraId="792CDED4" w14:textId="77777777" w:rsidR="003A3653" w:rsidRPr="00E8195A" w:rsidRDefault="003A3653" w:rsidP="006A4AF2">
            <w:pPr>
              <w:jc w:val="both"/>
              <w:rPr>
                <w:rFonts w:ascii="Calibri" w:eastAsia="Calibri" w:hAnsi="Calibri" w:cs="Times New Roman"/>
              </w:rPr>
            </w:pPr>
          </w:p>
        </w:tc>
        <w:tc>
          <w:tcPr>
            <w:tcW w:w="1559" w:type="dxa"/>
          </w:tcPr>
          <w:p w14:paraId="496D6C1E" w14:textId="2B0DE9D0" w:rsidR="003A3653" w:rsidRPr="00E8195A" w:rsidRDefault="003A3653" w:rsidP="006A4AF2">
            <w:pPr>
              <w:jc w:val="center"/>
              <w:rPr>
                <w:rFonts w:ascii="Calibri" w:eastAsia="Calibri" w:hAnsi="Calibri" w:cs="Times New Roman"/>
              </w:rPr>
            </w:pPr>
            <w:r w:rsidRPr="00E8195A">
              <w:rPr>
                <w:rFonts w:ascii="Calibri" w:eastAsia="Calibri" w:hAnsi="Calibri" w:cs="Times New Roman"/>
              </w:rPr>
              <w:t>3</w:t>
            </w:r>
          </w:p>
        </w:tc>
        <w:tc>
          <w:tcPr>
            <w:tcW w:w="1418" w:type="dxa"/>
            <w:shd w:val="clear" w:color="auto" w:fill="C2D69B" w:themeFill="accent3" w:themeFillTint="99"/>
          </w:tcPr>
          <w:p w14:paraId="05D9938B" w14:textId="2E4B5E02" w:rsidR="003A3653" w:rsidRPr="00E8195A" w:rsidRDefault="003A3653" w:rsidP="006A4AF2">
            <w:pPr>
              <w:jc w:val="center"/>
              <w:rPr>
                <w:rFonts w:ascii="Calibri" w:eastAsia="Calibri" w:hAnsi="Calibri" w:cs="Times New Roman"/>
              </w:rPr>
            </w:pPr>
            <w:r>
              <w:rPr>
                <w:rFonts w:ascii="Calibri" w:eastAsia="Calibri" w:hAnsi="Calibri" w:cs="Times New Roman"/>
              </w:rPr>
              <w:t>0.97</w:t>
            </w:r>
          </w:p>
        </w:tc>
        <w:tc>
          <w:tcPr>
            <w:tcW w:w="1276" w:type="dxa"/>
            <w:shd w:val="clear" w:color="auto" w:fill="FFFFFF" w:themeFill="background1"/>
          </w:tcPr>
          <w:p w14:paraId="406472A6" w14:textId="0CB5B265" w:rsidR="003A3653" w:rsidRPr="00E8195A" w:rsidRDefault="003A3653" w:rsidP="006A4AF2">
            <w:pPr>
              <w:jc w:val="center"/>
              <w:rPr>
                <w:rFonts w:ascii="Calibri" w:eastAsia="Calibri" w:hAnsi="Calibri" w:cs="Times New Roman"/>
              </w:rPr>
            </w:pPr>
            <w:r>
              <w:rPr>
                <w:rFonts w:ascii="Calibri" w:eastAsia="Calibri" w:hAnsi="Calibri" w:cs="Times New Roman"/>
              </w:rPr>
              <w:t>0</w:t>
            </w:r>
          </w:p>
        </w:tc>
      </w:tr>
      <w:tr w:rsidR="003A3653" w:rsidRPr="00E8195A" w14:paraId="37D11C3B" w14:textId="688F2291" w:rsidTr="003A3653">
        <w:tc>
          <w:tcPr>
            <w:tcW w:w="3397" w:type="dxa"/>
          </w:tcPr>
          <w:p w14:paraId="56164004"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lastRenderedPageBreak/>
              <w:t>RSH205 New supply delivered (Non-social housing units)</w:t>
            </w:r>
          </w:p>
          <w:p w14:paraId="2EA2C80C" w14:textId="77777777" w:rsidR="003A3653" w:rsidRPr="00E8195A" w:rsidRDefault="003A3653" w:rsidP="006A4AF2">
            <w:pPr>
              <w:jc w:val="both"/>
              <w:rPr>
                <w:rFonts w:ascii="Calibri" w:eastAsia="Calibri" w:hAnsi="Calibri" w:cs="Times New Roman"/>
              </w:rPr>
            </w:pPr>
          </w:p>
        </w:tc>
        <w:tc>
          <w:tcPr>
            <w:tcW w:w="1559" w:type="dxa"/>
          </w:tcPr>
          <w:p w14:paraId="35E15218" w14:textId="680919CB" w:rsidR="003A3653" w:rsidRPr="00E8195A" w:rsidRDefault="003A3653" w:rsidP="006A4AF2">
            <w:pPr>
              <w:jc w:val="center"/>
              <w:rPr>
                <w:rFonts w:ascii="Calibri" w:eastAsia="Calibri" w:hAnsi="Calibri" w:cs="Times New Roman"/>
              </w:rPr>
            </w:pPr>
            <w:r w:rsidRPr="00E8195A">
              <w:rPr>
                <w:rFonts w:ascii="Calibri" w:eastAsia="Calibri" w:hAnsi="Calibri" w:cs="Times New Roman"/>
              </w:rPr>
              <w:t>0</w:t>
            </w:r>
          </w:p>
        </w:tc>
        <w:tc>
          <w:tcPr>
            <w:tcW w:w="1418" w:type="dxa"/>
          </w:tcPr>
          <w:p w14:paraId="2017457A" w14:textId="07678A4C" w:rsidR="003A3653" w:rsidRPr="00E8195A" w:rsidRDefault="003A3653" w:rsidP="006A4AF2">
            <w:pPr>
              <w:jc w:val="center"/>
              <w:rPr>
                <w:rFonts w:ascii="Calibri" w:eastAsia="Calibri" w:hAnsi="Calibri" w:cs="Times New Roman"/>
              </w:rPr>
            </w:pPr>
            <w:r>
              <w:rPr>
                <w:rFonts w:ascii="Calibri" w:eastAsia="Calibri" w:hAnsi="Calibri" w:cs="Times New Roman"/>
              </w:rPr>
              <w:t>0</w:t>
            </w:r>
          </w:p>
        </w:tc>
        <w:tc>
          <w:tcPr>
            <w:tcW w:w="1276" w:type="dxa"/>
          </w:tcPr>
          <w:p w14:paraId="562E13D4" w14:textId="31898EDB" w:rsidR="003A3653" w:rsidRPr="00E8195A" w:rsidRDefault="003A3653" w:rsidP="006A4AF2">
            <w:pPr>
              <w:jc w:val="center"/>
              <w:rPr>
                <w:rFonts w:ascii="Calibri" w:eastAsia="Calibri" w:hAnsi="Calibri" w:cs="Times New Roman"/>
              </w:rPr>
            </w:pPr>
            <w:r>
              <w:rPr>
                <w:rFonts w:ascii="Calibri" w:eastAsia="Calibri" w:hAnsi="Calibri" w:cs="Times New Roman"/>
              </w:rPr>
              <w:t>0</w:t>
            </w:r>
          </w:p>
        </w:tc>
      </w:tr>
      <w:tr w:rsidR="003A3653" w:rsidRPr="00E8195A" w14:paraId="3E82DE7C" w14:textId="40BB8F39" w:rsidTr="003A3653">
        <w:tc>
          <w:tcPr>
            <w:tcW w:w="3397" w:type="dxa"/>
          </w:tcPr>
          <w:p w14:paraId="6C34E523"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RSH304 Reinvestment %</w:t>
            </w:r>
          </w:p>
          <w:p w14:paraId="44476A86" w14:textId="77777777" w:rsidR="003A3653" w:rsidRPr="00E8195A" w:rsidRDefault="003A3653" w:rsidP="006A4AF2">
            <w:pPr>
              <w:jc w:val="both"/>
              <w:rPr>
                <w:rFonts w:ascii="Calibri" w:eastAsia="Calibri" w:hAnsi="Calibri" w:cs="Times New Roman"/>
              </w:rPr>
            </w:pPr>
          </w:p>
        </w:tc>
        <w:tc>
          <w:tcPr>
            <w:tcW w:w="1559" w:type="dxa"/>
          </w:tcPr>
          <w:p w14:paraId="02CE656F" w14:textId="762881D7" w:rsidR="003A3653" w:rsidRPr="00E8195A" w:rsidRDefault="003A3653" w:rsidP="006A4AF2">
            <w:pPr>
              <w:jc w:val="center"/>
              <w:rPr>
                <w:rFonts w:ascii="Calibri" w:eastAsia="Calibri" w:hAnsi="Calibri" w:cs="Times New Roman"/>
              </w:rPr>
            </w:pPr>
            <w:r>
              <w:rPr>
                <w:rFonts w:ascii="Calibri" w:eastAsia="Calibri" w:hAnsi="Calibri" w:cs="Times New Roman"/>
              </w:rPr>
              <w:t>5</w:t>
            </w:r>
            <w:r w:rsidRPr="00E8195A">
              <w:rPr>
                <w:rFonts w:ascii="Calibri" w:eastAsia="Calibri" w:hAnsi="Calibri" w:cs="Times New Roman"/>
              </w:rPr>
              <w:t>.</w:t>
            </w:r>
            <w:r>
              <w:rPr>
                <w:rFonts w:ascii="Calibri" w:eastAsia="Calibri" w:hAnsi="Calibri" w:cs="Times New Roman"/>
              </w:rPr>
              <w:t>16</w:t>
            </w:r>
          </w:p>
        </w:tc>
        <w:tc>
          <w:tcPr>
            <w:tcW w:w="1418" w:type="dxa"/>
            <w:shd w:val="clear" w:color="auto" w:fill="C2D69B" w:themeFill="accent3" w:themeFillTint="99"/>
          </w:tcPr>
          <w:p w14:paraId="43160321" w14:textId="2CE62089" w:rsidR="003A3653" w:rsidRPr="00E8195A" w:rsidRDefault="003A3653" w:rsidP="006A4AF2">
            <w:pPr>
              <w:jc w:val="center"/>
              <w:rPr>
                <w:rFonts w:ascii="Calibri" w:eastAsia="Calibri" w:hAnsi="Calibri" w:cs="Times New Roman"/>
              </w:rPr>
            </w:pPr>
            <w:r>
              <w:rPr>
                <w:rFonts w:ascii="Calibri" w:eastAsia="Calibri" w:hAnsi="Calibri" w:cs="Times New Roman"/>
              </w:rPr>
              <w:t>3.87</w:t>
            </w:r>
          </w:p>
        </w:tc>
        <w:tc>
          <w:tcPr>
            <w:tcW w:w="1276" w:type="dxa"/>
            <w:shd w:val="clear" w:color="auto" w:fill="FFFFFF" w:themeFill="background1"/>
          </w:tcPr>
          <w:p w14:paraId="76724410" w14:textId="16F13F13" w:rsidR="003A3653" w:rsidRDefault="003A3653" w:rsidP="006A4AF2">
            <w:pPr>
              <w:jc w:val="center"/>
              <w:rPr>
                <w:rFonts w:ascii="Calibri" w:eastAsia="Calibri" w:hAnsi="Calibri" w:cs="Times New Roman"/>
              </w:rPr>
            </w:pPr>
            <w:r>
              <w:rPr>
                <w:rFonts w:ascii="Calibri" w:eastAsia="Calibri" w:hAnsi="Calibri" w:cs="Times New Roman"/>
              </w:rPr>
              <w:t>2.42</w:t>
            </w:r>
          </w:p>
        </w:tc>
      </w:tr>
      <w:tr w:rsidR="003A3653" w:rsidRPr="00E8195A" w14:paraId="66EDA0D9" w14:textId="18AA0929" w:rsidTr="003A3653">
        <w:tc>
          <w:tcPr>
            <w:tcW w:w="3397" w:type="dxa"/>
          </w:tcPr>
          <w:p w14:paraId="3D9E0F31"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RSH401 Return on Capital Employed (ROCE) %</w:t>
            </w:r>
          </w:p>
          <w:p w14:paraId="73B9A3F6" w14:textId="77777777" w:rsidR="003A3653" w:rsidRPr="00E8195A" w:rsidRDefault="003A3653" w:rsidP="006A4AF2">
            <w:pPr>
              <w:jc w:val="both"/>
              <w:rPr>
                <w:rFonts w:ascii="Calibri" w:eastAsia="Calibri" w:hAnsi="Calibri" w:cs="Times New Roman"/>
              </w:rPr>
            </w:pPr>
          </w:p>
        </w:tc>
        <w:tc>
          <w:tcPr>
            <w:tcW w:w="1559" w:type="dxa"/>
          </w:tcPr>
          <w:p w14:paraId="33D41A6A" w14:textId="19C9CCF0" w:rsidR="003A3653" w:rsidRPr="00E8195A" w:rsidRDefault="003A3653" w:rsidP="006A4AF2">
            <w:pPr>
              <w:jc w:val="center"/>
              <w:rPr>
                <w:rFonts w:ascii="Calibri" w:eastAsia="Calibri" w:hAnsi="Calibri" w:cs="Times New Roman"/>
              </w:rPr>
            </w:pPr>
            <w:r w:rsidRPr="00E8195A">
              <w:rPr>
                <w:rFonts w:ascii="Calibri" w:eastAsia="Calibri" w:hAnsi="Calibri" w:cs="Times New Roman"/>
              </w:rPr>
              <w:t>2.1</w:t>
            </w:r>
            <w:r>
              <w:rPr>
                <w:rFonts w:ascii="Calibri" w:eastAsia="Calibri" w:hAnsi="Calibri" w:cs="Times New Roman"/>
              </w:rPr>
              <w:t>4</w:t>
            </w:r>
          </w:p>
        </w:tc>
        <w:tc>
          <w:tcPr>
            <w:tcW w:w="1418" w:type="dxa"/>
            <w:shd w:val="clear" w:color="auto" w:fill="FBD4B4" w:themeFill="accent6" w:themeFillTint="66"/>
          </w:tcPr>
          <w:p w14:paraId="6B062CB2" w14:textId="6ADBA483" w:rsidR="003A3653" w:rsidRPr="00E8195A" w:rsidRDefault="003A3653" w:rsidP="006A4AF2">
            <w:pPr>
              <w:jc w:val="center"/>
              <w:rPr>
                <w:rFonts w:ascii="Calibri" w:eastAsia="Calibri" w:hAnsi="Calibri" w:cs="Times New Roman"/>
              </w:rPr>
            </w:pPr>
            <w:r>
              <w:rPr>
                <w:rFonts w:ascii="Calibri" w:eastAsia="Calibri" w:hAnsi="Calibri" w:cs="Times New Roman"/>
              </w:rPr>
              <w:t>2.65</w:t>
            </w:r>
          </w:p>
        </w:tc>
        <w:tc>
          <w:tcPr>
            <w:tcW w:w="1276" w:type="dxa"/>
            <w:shd w:val="clear" w:color="auto" w:fill="FFFFFF" w:themeFill="background1"/>
          </w:tcPr>
          <w:p w14:paraId="4E2E1A5F" w14:textId="3C3046EE" w:rsidR="003A3653" w:rsidRPr="00E8195A" w:rsidRDefault="003A3653" w:rsidP="006A4AF2">
            <w:pPr>
              <w:jc w:val="center"/>
              <w:rPr>
                <w:rFonts w:ascii="Calibri" w:eastAsia="Calibri" w:hAnsi="Calibri" w:cs="Times New Roman"/>
              </w:rPr>
            </w:pPr>
            <w:r>
              <w:rPr>
                <w:rFonts w:ascii="Calibri" w:eastAsia="Calibri" w:hAnsi="Calibri" w:cs="Times New Roman"/>
              </w:rPr>
              <w:t>2.8</w:t>
            </w:r>
          </w:p>
        </w:tc>
      </w:tr>
      <w:tr w:rsidR="003A3653" w:rsidRPr="00E8195A" w14:paraId="118A5B8B" w14:textId="59B69C5B" w:rsidTr="003A3653">
        <w:tc>
          <w:tcPr>
            <w:tcW w:w="3397" w:type="dxa"/>
          </w:tcPr>
          <w:p w14:paraId="45408C28" w14:textId="77777777" w:rsidR="003A3653" w:rsidRPr="00E8195A" w:rsidRDefault="003A3653" w:rsidP="006A4AF2">
            <w:pPr>
              <w:jc w:val="both"/>
              <w:rPr>
                <w:rFonts w:ascii="Calibri" w:eastAsia="Calibri" w:hAnsi="Calibri" w:cs="Times New Roman"/>
              </w:rPr>
            </w:pPr>
            <w:r w:rsidRPr="00E8195A">
              <w:rPr>
                <w:rFonts w:ascii="Calibri" w:eastAsia="Calibri" w:hAnsi="Calibri" w:cs="Times New Roman"/>
              </w:rPr>
              <w:t>RSH 501 Headline housing cost per unit</w:t>
            </w:r>
          </w:p>
          <w:p w14:paraId="584DC6E0" w14:textId="77777777" w:rsidR="003A3653" w:rsidRPr="00E8195A" w:rsidRDefault="003A3653" w:rsidP="006A4AF2">
            <w:pPr>
              <w:jc w:val="both"/>
              <w:rPr>
                <w:rFonts w:ascii="Calibri" w:eastAsia="Calibri" w:hAnsi="Calibri" w:cs="Times New Roman"/>
              </w:rPr>
            </w:pPr>
          </w:p>
        </w:tc>
        <w:tc>
          <w:tcPr>
            <w:tcW w:w="1559" w:type="dxa"/>
          </w:tcPr>
          <w:p w14:paraId="3AD3723E" w14:textId="27283662" w:rsidR="003A3653" w:rsidRPr="00E8195A" w:rsidRDefault="003A3653" w:rsidP="006A4AF2">
            <w:pPr>
              <w:jc w:val="center"/>
              <w:rPr>
                <w:rFonts w:ascii="Calibri" w:eastAsia="Calibri" w:hAnsi="Calibri" w:cs="Times New Roman"/>
              </w:rPr>
            </w:pPr>
            <w:r w:rsidRPr="00E8195A">
              <w:rPr>
                <w:rFonts w:ascii="Calibri" w:eastAsia="Calibri" w:hAnsi="Calibri" w:cs="Times New Roman"/>
              </w:rPr>
              <w:t>£</w:t>
            </w:r>
            <w:r>
              <w:rPr>
                <w:rFonts w:ascii="Calibri" w:eastAsia="Calibri" w:hAnsi="Calibri" w:cs="Times New Roman"/>
              </w:rPr>
              <w:t>4216</w:t>
            </w:r>
            <w:r w:rsidRPr="00E8195A">
              <w:rPr>
                <w:rFonts w:ascii="Calibri" w:eastAsia="Calibri" w:hAnsi="Calibri" w:cs="Times New Roman"/>
              </w:rPr>
              <w:t>.</w:t>
            </w:r>
            <w:r>
              <w:rPr>
                <w:rFonts w:ascii="Calibri" w:eastAsia="Calibri" w:hAnsi="Calibri" w:cs="Times New Roman"/>
              </w:rPr>
              <w:t>59</w:t>
            </w:r>
          </w:p>
        </w:tc>
        <w:tc>
          <w:tcPr>
            <w:tcW w:w="1418" w:type="dxa"/>
            <w:shd w:val="clear" w:color="auto" w:fill="FBD4B4" w:themeFill="accent6" w:themeFillTint="66"/>
          </w:tcPr>
          <w:p w14:paraId="5CD27975" w14:textId="5CBCF614" w:rsidR="003A3653" w:rsidRPr="00E8195A" w:rsidRDefault="003A3653" w:rsidP="006A4AF2">
            <w:pPr>
              <w:jc w:val="center"/>
              <w:rPr>
                <w:rFonts w:ascii="Calibri" w:eastAsia="Calibri" w:hAnsi="Calibri" w:cs="Times New Roman"/>
              </w:rPr>
            </w:pPr>
            <w:r>
              <w:rPr>
                <w:rFonts w:ascii="Calibri" w:eastAsia="Calibri" w:hAnsi="Calibri" w:cs="Times New Roman"/>
              </w:rPr>
              <w:t>5076.83</w:t>
            </w:r>
          </w:p>
        </w:tc>
        <w:tc>
          <w:tcPr>
            <w:tcW w:w="1276" w:type="dxa"/>
            <w:shd w:val="clear" w:color="auto" w:fill="FFFFFF" w:themeFill="background1"/>
          </w:tcPr>
          <w:p w14:paraId="4D9933D6" w14:textId="77B68703" w:rsidR="003A3653" w:rsidRPr="00E8195A" w:rsidRDefault="003A3653" w:rsidP="006A4AF2">
            <w:pPr>
              <w:keepNext/>
              <w:jc w:val="center"/>
              <w:rPr>
                <w:rFonts w:ascii="Calibri" w:eastAsia="Calibri" w:hAnsi="Calibri" w:cs="Times New Roman"/>
              </w:rPr>
            </w:pPr>
            <w:r>
              <w:rPr>
                <w:rFonts w:ascii="Calibri" w:eastAsia="Calibri" w:hAnsi="Calibri" w:cs="Times New Roman"/>
              </w:rPr>
              <w:t>4419</w:t>
            </w:r>
          </w:p>
        </w:tc>
      </w:tr>
    </w:tbl>
    <w:p w14:paraId="724A47B8" w14:textId="436A7174" w:rsidR="004F68B3" w:rsidRDefault="004F68B3">
      <w:pPr>
        <w:pStyle w:val="Caption"/>
      </w:pPr>
      <w:r>
        <w:t xml:space="preserve">Table </w:t>
      </w:r>
      <w:r w:rsidR="0027633B">
        <w:fldChar w:fldCharType="begin"/>
      </w:r>
      <w:r w:rsidR="0027633B">
        <w:instrText xml:space="preserve"> SEQ Table \* ARABIC </w:instrText>
      </w:r>
      <w:r w:rsidR="0027633B">
        <w:fldChar w:fldCharType="separate"/>
      </w:r>
      <w:r w:rsidR="00AD5A6B">
        <w:rPr>
          <w:noProof/>
        </w:rPr>
        <w:t>1</w:t>
      </w:r>
      <w:r w:rsidR="0027633B">
        <w:rPr>
          <w:noProof/>
        </w:rPr>
        <w:fldChar w:fldCharType="end"/>
      </w:r>
    </w:p>
    <w:p w14:paraId="19BC116E" w14:textId="77777777" w:rsidR="00651325" w:rsidRDefault="00651325" w:rsidP="00651325">
      <w:pPr>
        <w:ind w:left="360" w:hanging="360"/>
      </w:pPr>
    </w:p>
    <w:p w14:paraId="5CA93E9C" w14:textId="14776451" w:rsidR="00651325" w:rsidRPr="00651325" w:rsidRDefault="00651325" w:rsidP="00651325">
      <w:pPr>
        <w:ind w:left="360" w:hanging="360"/>
        <w:rPr>
          <w:rFonts w:ascii="Calibri" w:eastAsia="Calibri" w:hAnsi="Calibri" w:cs="Times New Roman"/>
          <w:lang w:eastAsia="en-US"/>
        </w:rPr>
      </w:pPr>
      <w:r>
        <w:t>3.4</w:t>
      </w:r>
      <w:r>
        <w:tab/>
      </w:r>
      <w:r w:rsidR="003A3653">
        <w:t>P</w:t>
      </w:r>
      <w:r>
        <w:t xml:space="preserve">erformance </w:t>
      </w:r>
      <w:r w:rsidR="003A3653">
        <w:t>against</w:t>
      </w:r>
      <w:r>
        <w:t xml:space="preserve"> RSH indicators shows an </w:t>
      </w:r>
      <w:r w:rsidR="003A3653">
        <w:t xml:space="preserve">indicates that we generally fall in </w:t>
      </w:r>
      <w:r w:rsidR="003A3653" w:rsidRPr="003A3653">
        <w:rPr>
          <w:color w:val="9BBB59" w:themeColor="accent3"/>
        </w:rPr>
        <w:t>2</w:t>
      </w:r>
      <w:r w:rsidR="003A3653" w:rsidRPr="003A3653">
        <w:rPr>
          <w:vertAlign w:val="superscript"/>
        </w:rPr>
        <w:t>nd</w:t>
      </w:r>
      <w:r w:rsidR="003A3653">
        <w:t xml:space="preserve"> or </w:t>
      </w:r>
      <w:r w:rsidR="003A3653" w:rsidRPr="003A3653">
        <w:rPr>
          <w:color w:val="F79646" w:themeColor="accent6"/>
        </w:rPr>
        <w:t>3</w:t>
      </w:r>
      <w:r w:rsidR="003A3653" w:rsidRPr="003A3653">
        <w:rPr>
          <w:color w:val="F79646" w:themeColor="accent6"/>
          <w:vertAlign w:val="superscript"/>
        </w:rPr>
        <w:t>r</w:t>
      </w:r>
      <w:r w:rsidR="003A3653" w:rsidRPr="003A3653">
        <w:rPr>
          <w:vertAlign w:val="superscript"/>
        </w:rPr>
        <w:t>d</w:t>
      </w:r>
      <w:r w:rsidR="003A3653">
        <w:t xml:space="preserve"> quartiles</w:t>
      </w:r>
      <w:r w:rsidR="00081531">
        <w:t xml:space="preserve"> when compared to SPBM peers</w:t>
      </w:r>
      <w:r>
        <w:t>.</w:t>
      </w:r>
      <w:r w:rsidR="00081531">
        <w:t xml:space="preserve">  While this may not appear to be a position we would wish to occupy, the reasons have been outlined and discussed with the Board on a number of occasions.  Our investment in communities and new homes is significantly different from many associations of similar size.  Equally, the existence of a significant number of leased and temporary units also presents challenges not experienced by other similar associations.</w:t>
      </w:r>
      <w:r>
        <w:t xml:space="preserve">  </w:t>
      </w:r>
    </w:p>
    <w:p w14:paraId="764ADC0B" w14:textId="1D769E13" w:rsidR="0035014E" w:rsidRPr="00E8195A" w:rsidRDefault="0035014E" w:rsidP="0035014E">
      <w:pPr>
        <w:spacing w:after="0" w:line="240" w:lineRule="auto"/>
        <w:ind w:left="360" w:hanging="360"/>
        <w:jc w:val="both"/>
        <w:rPr>
          <w:rFonts w:ascii="Calibri" w:eastAsia="Calibri" w:hAnsi="Calibri" w:cs="Times New Roman"/>
          <w:lang w:eastAsia="en-US"/>
        </w:rPr>
      </w:pPr>
      <w:r>
        <w:rPr>
          <w:rFonts w:ascii="Calibri" w:eastAsia="Calibri" w:hAnsi="Calibri" w:cs="Times New Roman"/>
          <w:lang w:eastAsia="en-US"/>
        </w:rPr>
        <w:t>3.5</w:t>
      </w:r>
      <w:r>
        <w:rPr>
          <w:rFonts w:ascii="Calibri" w:eastAsia="Calibri" w:hAnsi="Calibri" w:cs="Times New Roman"/>
          <w:lang w:eastAsia="en-US"/>
        </w:rPr>
        <w:tab/>
      </w:r>
      <w:r w:rsidR="00E505D8">
        <w:rPr>
          <w:rFonts w:ascii="Calibri" w:eastAsia="Calibri" w:hAnsi="Calibri" w:cs="Times New Roman"/>
          <w:lang w:eastAsia="en-US"/>
        </w:rPr>
        <w:t>O</w:t>
      </w:r>
      <w:r w:rsidRPr="00E8195A">
        <w:rPr>
          <w:rFonts w:ascii="Calibri" w:eastAsia="Calibri" w:hAnsi="Calibri" w:cs="Times New Roman"/>
          <w:lang w:eastAsia="en-US"/>
        </w:rPr>
        <w:t xml:space="preserve">perating margin and headline costs </w:t>
      </w:r>
      <w:r w:rsidR="00E505D8">
        <w:rPr>
          <w:rFonts w:ascii="Calibri" w:eastAsia="Calibri" w:hAnsi="Calibri" w:cs="Times New Roman"/>
          <w:lang w:eastAsia="en-US"/>
        </w:rPr>
        <w:t xml:space="preserve">are </w:t>
      </w:r>
      <w:r w:rsidRPr="00E8195A">
        <w:rPr>
          <w:rFonts w:ascii="Calibri" w:eastAsia="Calibri" w:hAnsi="Calibri" w:cs="Times New Roman"/>
          <w:lang w:eastAsia="en-US"/>
        </w:rPr>
        <w:t xml:space="preserve">out of line with </w:t>
      </w:r>
      <w:r w:rsidR="00E505D8">
        <w:rPr>
          <w:rFonts w:ascii="Calibri" w:eastAsia="Calibri" w:hAnsi="Calibri" w:cs="Times New Roman"/>
          <w:lang w:eastAsia="en-US"/>
        </w:rPr>
        <w:t>the best performing</w:t>
      </w:r>
      <w:r w:rsidRPr="00E8195A">
        <w:rPr>
          <w:rFonts w:ascii="Calibri" w:eastAsia="Calibri" w:hAnsi="Calibri" w:cs="Times New Roman"/>
          <w:lang w:eastAsia="en-US"/>
        </w:rPr>
        <w:t xml:space="preserve"> SPBM benchmarking peers </w:t>
      </w:r>
      <w:r w:rsidR="00E505D8">
        <w:rPr>
          <w:rFonts w:ascii="Calibri" w:eastAsia="Calibri" w:hAnsi="Calibri" w:cs="Times New Roman"/>
          <w:lang w:eastAsia="en-US"/>
        </w:rPr>
        <w:t xml:space="preserve">as </w:t>
      </w:r>
      <w:r w:rsidRPr="00E8195A">
        <w:rPr>
          <w:rFonts w:ascii="Calibri" w:eastAsia="Calibri" w:hAnsi="Calibri" w:cs="Times New Roman"/>
          <w:lang w:eastAsia="en-US"/>
        </w:rPr>
        <w:t>a result of three key strategic factors:</w:t>
      </w:r>
    </w:p>
    <w:p w14:paraId="30E87CD8" w14:textId="77777777" w:rsidR="0035014E" w:rsidRPr="00E8195A" w:rsidRDefault="0035014E" w:rsidP="0035014E">
      <w:pPr>
        <w:spacing w:after="0" w:line="240" w:lineRule="auto"/>
        <w:jc w:val="both"/>
        <w:rPr>
          <w:rFonts w:ascii="Calibri" w:eastAsia="Calibri" w:hAnsi="Calibri" w:cs="Times New Roman"/>
          <w:lang w:eastAsia="en-US"/>
        </w:rPr>
      </w:pPr>
    </w:p>
    <w:p w14:paraId="620A4535" w14:textId="2F2539A0" w:rsidR="0035014E" w:rsidRDefault="0035014E" w:rsidP="0035014E">
      <w:pPr>
        <w:pStyle w:val="ListParagraph"/>
        <w:numPr>
          <w:ilvl w:val="0"/>
          <w:numId w:val="6"/>
        </w:numPr>
        <w:spacing w:after="0" w:line="240" w:lineRule="auto"/>
        <w:jc w:val="both"/>
        <w:rPr>
          <w:rFonts w:ascii="Calibri" w:eastAsia="Calibri" w:hAnsi="Calibri" w:cs="Times New Roman"/>
          <w:lang w:eastAsia="en-US"/>
        </w:rPr>
      </w:pPr>
      <w:r w:rsidRPr="00C92A2C">
        <w:rPr>
          <w:rFonts w:ascii="Calibri" w:eastAsia="Calibri" w:hAnsi="Calibri" w:cs="Times New Roman"/>
          <w:lang w:eastAsia="en-US"/>
        </w:rPr>
        <w:t>Our investment in the process of developing new homes – this relates to the staff and building costs of new developments, which have not yet come into management.</w:t>
      </w:r>
      <w:r>
        <w:rPr>
          <w:rFonts w:ascii="Calibri" w:eastAsia="Calibri" w:hAnsi="Calibri" w:cs="Times New Roman"/>
          <w:lang w:eastAsia="en-US"/>
        </w:rPr>
        <w:t xml:space="preserve">  This amounted to approximately £</w:t>
      </w:r>
      <w:r w:rsidR="00E505D8">
        <w:rPr>
          <w:rFonts w:ascii="Calibri" w:eastAsia="Calibri" w:hAnsi="Calibri" w:cs="Times New Roman"/>
          <w:lang w:eastAsia="en-US"/>
        </w:rPr>
        <w:t>10</w:t>
      </w:r>
      <w:r>
        <w:rPr>
          <w:rFonts w:ascii="Calibri" w:eastAsia="Calibri" w:hAnsi="Calibri" w:cs="Times New Roman"/>
          <w:lang w:eastAsia="en-US"/>
        </w:rPr>
        <w:t>0,000.</w:t>
      </w:r>
    </w:p>
    <w:p w14:paraId="1C440454" w14:textId="77777777" w:rsidR="0035014E" w:rsidRPr="00C92A2C" w:rsidRDefault="0035014E" w:rsidP="0035014E">
      <w:pPr>
        <w:pStyle w:val="ListParagraph"/>
        <w:spacing w:after="0" w:line="240" w:lineRule="auto"/>
        <w:ind w:left="360"/>
        <w:jc w:val="both"/>
        <w:rPr>
          <w:rFonts w:ascii="Calibri" w:eastAsia="Calibri" w:hAnsi="Calibri" w:cs="Times New Roman"/>
          <w:lang w:eastAsia="en-US"/>
        </w:rPr>
      </w:pPr>
    </w:p>
    <w:p w14:paraId="3F0DDAD2" w14:textId="74D7418A" w:rsidR="0035014E" w:rsidRDefault="0035014E" w:rsidP="0035014E">
      <w:pPr>
        <w:pStyle w:val="ListParagraph"/>
        <w:numPr>
          <w:ilvl w:val="0"/>
          <w:numId w:val="6"/>
        </w:numPr>
        <w:spacing w:after="0" w:line="240" w:lineRule="auto"/>
        <w:jc w:val="both"/>
        <w:rPr>
          <w:rFonts w:ascii="Calibri" w:eastAsia="Calibri" w:hAnsi="Calibri" w:cs="Times New Roman"/>
          <w:lang w:eastAsia="en-US"/>
        </w:rPr>
      </w:pPr>
      <w:r w:rsidRPr="00C92A2C">
        <w:rPr>
          <w:rFonts w:ascii="Calibri" w:eastAsia="Calibri" w:hAnsi="Calibri" w:cs="Times New Roman"/>
          <w:lang w:eastAsia="en-US"/>
        </w:rPr>
        <w:t>Our investment in supporting and developing communities – this is central to our values and business model</w:t>
      </w:r>
      <w:r>
        <w:rPr>
          <w:rFonts w:ascii="Calibri" w:eastAsia="Calibri" w:hAnsi="Calibri" w:cs="Times New Roman"/>
          <w:lang w:eastAsia="en-US"/>
        </w:rPr>
        <w:t>.  This amounted to a £2</w:t>
      </w:r>
      <w:r w:rsidR="00E505D8">
        <w:rPr>
          <w:rFonts w:ascii="Calibri" w:eastAsia="Calibri" w:hAnsi="Calibri" w:cs="Times New Roman"/>
          <w:lang w:eastAsia="en-US"/>
        </w:rPr>
        <w:t>8</w:t>
      </w:r>
      <w:r>
        <w:rPr>
          <w:rFonts w:ascii="Calibri" w:eastAsia="Calibri" w:hAnsi="Calibri" w:cs="Times New Roman"/>
          <w:lang w:eastAsia="en-US"/>
        </w:rPr>
        <w:t>,000 investment.</w:t>
      </w:r>
    </w:p>
    <w:p w14:paraId="18292FBC" w14:textId="77777777" w:rsidR="0035014E" w:rsidRPr="0035014E" w:rsidRDefault="0035014E" w:rsidP="0035014E">
      <w:pPr>
        <w:spacing w:after="0" w:line="240" w:lineRule="auto"/>
        <w:jc w:val="both"/>
        <w:rPr>
          <w:rFonts w:ascii="Calibri" w:eastAsia="Calibri" w:hAnsi="Calibri" w:cs="Times New Roman"/>
          <w:lang w:eastAsia="en-US"/>
        </w:rPr>
      </w:pPr>
    </w:p>
    <w:p w14:paraId="11907898" w14:textId="33AC567B" w:rsidR="0035014E" w:rsidRDefault="0035014E" w:rsidP="0035014E">
      <w:pPr>
        <w:pStyle w:val="ListParagraph"/>
        <w:numPr>
          <w:ilvl w:val="0"/>
          <w:numId w:val="6"/>
        </w:numPr>
        <w:spacing w:after="0" w:line="240" w:lineRule="auto"/>
        <w:jc w:val="both"/>
        <w:rPr>
          <w:rFonts w:ascii="Calibri" w:eastAsia="Calibri" w:hAnsi="Calibri" w:cs="Times New Roman"/>
          <w:lang w:eastAsia="en-US"/>
        </w:rPr>
      </w:pPr>
      <w:r w:rsidRPr="00C92A2C">
        <w:rPr>
          <w:rFonts w:ascii="Calibri" w:eastAsia="Calibri" w:hAnsi="Calibri" w:cs="Times New Roman"/>
          <w:lang w:eastAsia="en-US"/>
        </w:rPr>
        <w:t>Higher than average void, repair and arrears costs resulting from a strategic partnership with the IoW Council to provide temporary accommodation for homeless people.</w:t>
      </w:r>
      <w:r>
        <w:rPr>
          <w:rFonts w:ascii="Calibri" w:eastAsia="Calibri" w:hAnsi="Calibri" w:cs="Times New Roman"/>
          <w:lang w:eastAsia="en-US"/>
        </w:rPr>
        <w:t xml:space="preserve">  While not absolutely quantifiable, this is illustrated by our significantly higher level of void numbers than our peers</w:t>
      </w:r>
      <w:r w:rsidR="00DB7F0A">
        <w:rPr>
          <w:rFonts w:ascii="Calibri" w:eastAsia="Calibri" w:hAnsi="Calibri" w:cs="Times New Roman"/>
          <w:lang w:eastAsia="en-US"/>
        </w:rPr>
        <w:t>, 41 as against 25</w:t>
      </w:r>
      <w:r>
        <w:rPr>
          <w:rFonts w:ascii="Calibri" w:eastAsia="Calibri" w:hAnsi="Calibri" w:cs="Times New Roman"/>
          <w:lang w:eastAsia="en-US"/>
        </w:rPr>
        <w:t>.</w:t>
      </w:r>
    </w:p>
    <w:p w14:paraId="12C80B6C" w14:textId="7BC05257" w:rsidR="00F72B22" w:rsidRDefault="00F72B22" w:rsidP="00F72B22">
      <w:pPr>
        <w:spacing w:after="0" w:line="240" w:lineRule="auto"/>
        <w:jc w:val="both"/>
        <w:rPr>
          <w:rFonts w:ascii="Calibri" w:eastAsia="Calibri" w:hAnsi="Calibri" w:cs="Times New Roman"/>
          <w:lang w:eastAsia="en-US"/>
        </w:rPr>
      </w:pPr>
    </w:p>
    <w:p w14:paraId="67D30500" w14:textId="7C83782E" w:rsidR="003328B3" w:rsidRDefault="00F72B22" w:rsidP="003328B3">
      <w:pPr>
        <w:spacing w:after="0" w:line="240" w:lineRule="auto"/>
        <w:ind w:left="360" w:hanging="360"/>
        <w:jc w:val="both"/>
        <w:rPr>
          <w:rFonts w:ascii="Calibri" w:eastAsia="Calibri" w:hAnsi="Calibri" w:cs="Times New Roman"/>
          <w:lang w:eastAsia="en-US"/>
        </w:rPr>
      </w:pPr>
      <w:r>
        <w:rPr>
          <w:rFonts w:ascii="Calibri" w:eastAsia="Calibri" w:hAnsi="Calibri" w:cs="Times New Roman"/>
          <w:lang w:eastAsia="en-US"/>
        </w:rPr>
        <w:t>3.6</w:t>
      </w:r>
      <w:r>
        <w:rPr>
          <w:rFonts w:ascii="Calibri" w:eastAsia="Calibri" w:hAnsi="Calibri" w:cs="Times New Roman"/>
          <w:lang w:eastAsia="en-US"/>
        </w:rPr>
        <w:tab/>
        <w:t xml:space="preserve">This reflects our </w:t>
      </w:r>
      <w:r w:rsidR="00E505D8">
        <w:rPr>
          <w:rFonts w:ascii="Calibri" w:eastAsia="Calibri" w:hAnsi="Calibri" w:cs="Times New Roman"/>
          <w:lang w:eastAsia="en-US"/>
        </w:rPr>
        <w:t xml:space="preserve">continued </w:t>
      </w:r>
      <w:r>
        <w:rPr>
          <w:rFonts w:ascii="Calibri" w:eastAsia="Calibri" w:hAnsi="Calibri" w:cs="Times New Roman"/>
          <w:lang w:eastAsia="en-US"/>
        </w:rPr>
        <w:t xml:space="preserve">strategic commitment to invest in growth and will show continued improvements in future years as new homes come into management and the </w:t>
      </w:r>
      <w:r w:rsidR="00466736">
        <w:rPr>
          <w:rFonts w:ascii="Calibri" w:eastAsia="Calibri" w:hAnsi="Calibri" w:cs="Times New Roman"/>
          <w:lang w:eastAsia="en-US"/>
        </w:rPr>
        <w:t>income streams are realised.</w:t>
      </w:r>
    </w:p>
    <w:p w14:paraId="469A8E5D" w14:textId="6DB3C878" w:rsidR="003328B3" w:rsidRDefault="003328B3" w:rsidP="003328B3">
      <w:pPr>
        <w:spacing w:after="0" w:line="240" w:lineRule="auto"/>
        <w:ind w:left="360" w:hanging="360"/>
        <w:jc w:val="both"/>
        <w:rPr>
          <w:rFonts w:ascii="Calibri" w:eastAsia="Calibri" w:hAnsi="Calibri" w:cs="Times New Roman"/>
          <w:lang w:eastAsia="en-US"/>
        </w:rPr>
      </w:pPr>
    </w:p>
    <w:p w14:paraId="0A190047" w14:textId="6F307B7F" w:rsidR="004F68B3" w:rsidRDefault="0020403A" w:rsidP="004F68B3">
      <w:pPr>
        <w:keepNext/>
      </w:pPr>
      <w:r w:rsidRPr="0020403A">
        <w:rPr>
          <w:b/>
          <w:noProof/>
        </w:rPr>
        <w:lastRenderedPageBreak/>
        <w:drawing>
          <wp:inline distT="0" distB="0" distL="0" distR="0" wp14:anchorId="5545038E" wp14:editId="653D7D02">
            <wp:extent cx="5857875" cy="3638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57875" cy="3638550"/>
                    </a:xfrm>
                    <a:prstGeom prst="rect">
                      <a:avLst/>
                    </a:prstGeom>
                  </pic:spPr>
                </pic:pic>
              </a:graphicData>
            </a:graphic>
          </wp:inline>
        </w:drawing>
      </w:r>
    </w:p>
    <w:p w14:paraId="015D766B" w14:textId="08A483E5" w:rsidR="00E505D8" w:rsidRDefault="00E505D8" w:rsidP="00E505D8">
      <w:pPr>
        <w:spacing w:after="0" w:line="240" w:lineRule="auto"/>
        <w:ind w:left="360" w:hanging="360"/>
        <w:jc w:val="both"/>
        <w:rPr>
          <w:rFonts w:ascii="Calibri" w:eastAsia="Calibri" w:hAnsi="Calibri" w:cs="Times New Roman"/>
          <w:lang w:eastAsia="en-US"/>
        </w:rPr>
      </w:pPr>
      <w:r>
        <w:rPr>
          <w:rFonts w:ascii="Calibri" w:eastAsia="Calibri" w:hAnsi="Calibri" w:cs="Times New Roman"/>
          <w:lang w:eastAsia="en-US"/>
        </w:rPr>
        <w:t>3.7</w:t>
      </w:r>
      <w:r>
        <w:rPr>
          <w:rFonts w:ascii="Calibri" w:eastAsia="Calibri" w:hAnsi="Calibri" w:cs="Times New Roman"/>
          <w:lang w:eastAsia="en-US"/>
        </w:rPr>
        <w:tab/>
      </w:r>
      <w:r w:rsidRPr="00E505D8">
        <w:rPr>
          <w:rFonts w:ascii="Calibri" w:eastAsia="Calibri" w:hAnsi="Calibri" w:cs="Times New Roman"/>
          <w:b/>
          <w:bCs/>
          <w:lang w:eastAsia="en-US"/>
        </w:rPr>
        <w:t xml:space="preserve">Other Measures </w:t>
      </w:r>
      <w:r>
        <w:rPr>
          <w:rFonts w:ascii="Calibri" w:eastAsia="Calibri" w:hAnsi="Calibri" w:cs="Times New Roman"/>
          <w:lang w:eastAsia="en-US"/>
        </w:rPr>
        <w:t>– Overall, our benchmarked performance in measures other than those for the RSH is very positive.  The output from the Sector Scorecard analysis places us in the top two quartiles for most areas of service delivery.  The exceptions are Occupancy, which reflects the higher turnover in HLA stock and Other Social Housing Costs, which reflect the communities investment and new homes.</w:t>
      </w:r>
    </w:p>
    <w:p w14:paraId="576D5D6C" w14:textId="77777777" w:rsidR="00E505D8" w:rsidRDefault="00E505D8" w:rsidP="00E505D8">
      <w:pPr>
        <w:spacing w:after="0" w:line="240" w:lineRule="auto"/>
        <w:ind w:left="360" w:hanging="360"/>
        <w:jc w:val="both"/>
        <w:rPr>
          <w:rFonts w:ascii="Calibri" w:eastAsia="Calibri" w:hAnsi="Calibri" w:cs="Times New Roman"/>
          <w:lang w:eastAsia="en-US"/>
        </w:rPr>
      </w:pPr>
    </w:p>
    <w:p w14:paraId="2A932E85" w14:textId="77777777" w:rsidR="00E505D8" w:rsidRDefault="00E505D8" w:rsidP="00E505D8">
      <w:pPr>
        <w:spacing w:after="0" w:line="240" w:lineRule="auto"/>
        <w:ind w:left="360" w:hanging="360"/>
        <w:jc w:val="both"/>
        <w:rPr>
          <w:rFonts w:ascii="Calibri" w:eastAsia="Calibri" w:hAnsi="Calibri" w:cs="Times New Roman"/>
          <w:lang w:eastAsia="en-US"/>
        </w:rPr>
      </w:pPr>
      <w:r>
        <w:rPr>
          <w:rFonts w:ascii="Calibri" w:eastAsia="Calibri" w:hAnsi="Calibri" w:cs="Times New Roman"/>
          <w:lang w:eastAsia="en-US"/>
        </w:rPr>
        <w:t>3.8</w:t>
      </w:r>
      <w:r>
        <w:rPr>
          <w:rFonts w:ascii="Calibri" w:eastAsia="Calibri" w:hAnsi="Calibri" w:cs="Times New Roman"/>
          <w:lang w:eastAsia="en-US"/>
        </w:rPr>
        <w:tab/>
      </w:r>
      <w:r w:rsidR="004E1C3A" w:rsidRPr="004E1C3A">
        <w:t>Of equal or perhaps greater importance, our levels of tenant satisfaction are</w:t>
      </w:r>
      <w:r w:rsidR="004E1C3A">
        <w:t xml:space="preserve"> exceptional and consistently high</w:t>
      </w:r>
      <w:r w:rsidR="009A17EF">
        <w:t xml:space="preserve"> (table 3)</w:t>
      </w:r>
      <w:r w:rsidR="004E1C3A">
        <w:t xml:space="preserve">.  </w:t>
      </w:r>
      <w:r w:rsidR="009A17EF">
        <w:t>These levels are based on a 2017 survey that updated our 2015 STAR survey.</w:t>
      </w:r>
    </w:p>
    <w:p w14:paraId="38428378" w14:textId="77777777" w:rsidR="00E505D8" w:rsidRDefault="00E505D8" w:rsidP="00E505D8">
      <w:pPr>
        <w:spacing w:after="0" w:line="240" w:lineRule="auto"/>
        <w:ind w:left="360" w:hanging="360"/>
        <w:jc w:val="both"/>
        <w:rPr>
          <w:rFonts w:ascii="Calibri" w:eastAsia="Calibri" w:hAnsi="Calibri" w:cs="Times New Roman"/>
          <w:lang w:eastAsia="en-US"/>
        </w:rPr>
      </w:pPr>
    </w:p>
    <w:p w14:paraId="5AA274BB" w14:textId="5EB6DA7E" w:rsidR="009A17EF" w:rsidRPr="00E505D8" w:rsidRDefault="00E505D8" w:rsidP="00E505D8">
      <w:pPr>
        <w:spacing w:after="0" w:line="240" w:lineRule="auto"/>
        <w:ind w:left="360" w:hanging="360"/>
        <w:jc w:val="both"/>
        <w:rPr>
          <w:rFonts w:ascii="Calibri" w:eastAsia="Calibri" w:hAnsi="Calibri" w:cs="Times New Roman"/>
          <w:lang w:eastAsia="en-US"/>
        </w:rPr>
      </w:pPr>
      <w:r>
        <w:rPr>
          <w:rFonts w:ascii="Calibri" w:eastAsia="Calibri" w:hAnsi="Calibri" w:cs="Times New Roman"/>
          <w:lang w:eastAsia="en-US"/>
        </w:rPr>
        <w:t>3.9</w:t>
      </w:r>
      <w:r>
        <w:rPr>
          <w:rFonts w:ascii="Calibri" w:eastAsia="Calibri" w:hAnsi="Calibri" w:cs="Times New Roman"/>
          <w:lang w:eastAsia="en-US"/>
        </w:rPr>
        <w:tab/>
      </w:r>
      <w:r w:rsidR="009A17EF">
        <w:t xml:space="preserve">The exception to these updated figures is that of VfM for rent and service charges, </w:t>
      </w:r>
      <w:r>
        <w:t xml:space="preserve">neither of </w:t>
      </w:r>
      <w:r w:rsidR="009A17EF">
        <w:t>which w</w:t>
      </w:r>
      <w:r>
        <w:t>ere</w:t>
      </w:r>
      <w:r w:rsidR="009A17EF">
        <w:t xml:space="preserve"> resurveyed at that time.  </w:t>
      </w:r>
    </w:p>
    <w:p w14:paraId="74546841" w14:textId="77777777" w:rsidR="004E1C3A" w:rsidRDefault="004E1C3A" w:rsidP="00FD713E">
      <w:pPr>
        <w:spacing w:after="0"/>
        <w:rPr>
          <w:b/>
        </w:rPr>
      </w:pPr>
    </w:p>
    <w:p w14:paraId="247252B3" w14:textId="07FD757D" w:rsidR="00E6397C" w:rsidRDefault="0020403A" w:rsidP="00E6397C">
      <w:pPr>
        <w:keepNext/>
      </w:pPr>
      <w:r w:rsidRPr="0020403A">
        <w:rPr>
          <w:noProof/>
        </w:rPr>
        <w:lastRenderedPageBreak/>
        <w:drawing>
          <wp:inline distT="0" distB="0" distL="0" distR="0" wp14:anchorId="2190E579" wp14:editId="5FEEC5D2">
            <wp:extent cx="5731510" cy="28098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809875"/>
                    </a:xfrm>
                    <a:prstGeom prst="rect">
                      <a:avLst/>
                    </a:prstGeom>
                  </pic:spPr>
                </pic:pic>
              </a:graphicData>
            </a:graphic>
          </wp:inline>
        </w:drawing>
      </w:r>
    </w:p>
    <w:p w14:paraId="12F9C3B9" w14:textId="78AC3C9B" w:rsidR="0029356E" w:rsidRDefault="00E6397C" w:rsidP="00E6397C">
      <w:pPr>
        <w:pStyle w:val="Caption"/>
      </w:pPr>
      <w:r>
        <w:t xml:space="preserve">Table </w:t>
      </w:r>
      <w:r w:rsidR="0027633B">
        <w:fldChar w:fldCharType="begin"/>
      </w:r>
      <w:r w:rsidR="0027633B">
        <w:instrText xml:space="preserve"> SEQ Table \* ARABIC </w:instrText>
      </w:r>
      <w:r w:rsidR="0027633B">
        <w:fldChar w:fldCharType="separate"/>
      </w:r>
      <w:r w:rsidR="00AD5A6B">
        <w:rPr>
          <w:noProof/>
        </w:rPr>
        <w:t>3</w:t>
      </w:r>
      <w:r w:rsidR="0027633B">
        <w:rPr>
          <w:noProof/>
        </w:rPr>
        <w:fldChar w:fldCharType="end"/>
      </w:r>
    </w:p>
    <w:p w14:paraId="1B1E2404" w14:textId="622EF025" w:rsidR="0067098D" w:rsidRPr="000A14B1" w:rsidRDefault="0067098D" w:rsidP="000A14B1">
      <w:pPr>
        <w:pStyle w:val="ListParagraph"/>
        <w:numPr>
          <w:ilvl w:val="0"/>
          <w:numId w:val="2"/>
        </w:numPr>
        <w:rPr>
          <w:b/>
        </w:rPr>
      </w:pPr>
      <w:r w:rsidRPr="000A14B1">
        <w:rPr>
          <w:b/>
        </w:rPr>
        <w:t>Asset Management</w:t>
      </w:r>
    </w:p>
    <w:p w14:paraId="14730C7D" w14:textId="73694AE9" w:rsidR="0067098D" w:rsidRPr="00E71E00" w:rsidRDefault="00491AF2" w:rsidP="00E71E00">
      <w:pPr>
        <w:ind w:left="360" w:hanging="360"/>
      </w:pPr>
      <w:r>
        <w:rPr>
          <w:b/>
        </w:rPr>
        <w:t>4.1</w:t>
      </w:r>
      <w:r>
        <w:rPr>
          <w:b/>
        </w:rPr>
        <w:tab/>
      </w:r>
      <w:r w:rsidRPr="00E71E00">
        <w:t xml:space="preserve">In terms of core costs, we continue to </w:t>
      </w:r>
      <w:r w:rsidR="00E71E00" w:rsidRPr="00E71E00">
        <w:t>provide good value in comparison to our sector peers</w:t>
      </w:r>
      <w:r w:rsidR="002209A1">
        <w:t xml:space="preserve"> in relation to responsive repair costs (</w:t>
      </w:r>
      <w:r w:rsidR="00E71E00" w:rsidRPr="00E71E00">
        <w:t xml:space="preserve">Table </w:t>
      </w:r>
      <w:r w:rsidR="002209A1">
        <w:t>4)</w:t>
      </w:r>
      <w:r w:rsidR="00E71E00" w:rsidRPr="00E71E00">
        <w:t xml:space="preserve">.  </w:t>
      </w:r>
      <w:r w:rsidR="002209A1">
        <w:t>However, increased costs over the past year has seemingly affected VHA more than some other organisations in relation to major repairs and cyclical maintenance.  This may be for a range of reasons, including limited competition for maintenance contractors on the Island, added costs for bringing materials on to the Island, other Associations reducing the range of repairs or elongating lifecycles.</w:t>
      </w:r>
    </w:p>
    <w:p w14:paraId="4523F46A" w14:textId="3A8CD937" w:rsidR="00E71E00" w:rsidRPr="008049CD" w:rsidRDefault="00E71E00" w:rsidP="00E71E00">
      <w:pPr>
        <w:ind w:left="360" w:hanging="360"/>
        <w:jc w:val="both"/>
        <w:rPr>
          <w:rFonts w:ascii="Calibri" w:eastAsia="Calibri" w:hAnsi="Calibri" w:cs="Times New Roman"/>
          <w:lang w:eastAsia="en-US"/>
        </w:rPr>
      </w:pPr>
      <w:r>
        <w:rPr>
          <w:rFonts w:ascii="Calibri" w:eastAsia="Calibri" w:hAnsi="Calibri" w:cs="Times New Roman"/>
          <w:lang w:eastAsia="en-US"/>
        </w:rPr>
        <w:t>4.</w:t>
      </w:r>
      <w:r w:rsidR="002209A1">
        <w:rPr>
          <w:rFonts w:ascii="Calibri" w:eastAsia="Calibri" w:hAnsi="Calibri" w:cs="Times New Roman"/>
          <w:lang w:eastAsia="en-US"/>
        </w:rPr>
        <w:t>2</w:t>
      </w:r>
      <w:r>
        <w:rPr>
          <w:rFonts w:ascii="Calibri" w:eastAsia="Calibri" w:hAnsi="Calibri" w:cs="Times New Roman"/>
          <w:lang w:eastAsia="en-US"/>
        </w:rPr>
        <w:tab/>
      </w:r>
      <w:r w:rsidR="002209A1">
        <w:rPr>
          <w:rFonts w:ascii="Calibri" w:eastAsia="Calibri" w:hAnsi="Calibri" w:cs="Times New Roman"/>
          <w:lang w:eastAsia="en-US"/>
        </w:rPr>
        <w:t>However</w:t>
      </w:r>
      <w:r>
        <w:rPr>
          <w:rFonts w:ascii="Calibri" w:eastAsia="Calibri" w:hAnsi="Calibri" w:cs="Times New Roman"/>
          <w:lang w:eastAsia="en-US"/>
        </w:rPr>
        <w:t xml:space="preserve"> HAL activity</w:t>
      </w:r>
      <w:r w:rsidR="002209A1">
        <w:rPr>
          <w:rFonts w:ascii="Calibri" w:eastAsia="Calibri" w:hAnsi="Calibri" w:cs="Times New Roman"/>
          <w:lang w:eastAsia="en-US"/>
        </w:rPr>
        <w:t xml:space="preserve"> also plays a part in this situation</w:t>
      </w:r>
      <w:r>
        <w:rPr>
          <w:rFonts w:ascii="Calibri" w:eastAsia="Calibri" w:hAnsi="Calibri" w:cs="Times New Roman"/>
          <w:lang w:eastAsia="en-US"/>
        </w:rPr>
        <w:t xml:space="preserve">.  </w:t>
      </w:r>
      <w:r w:rsidR="002209A1">
        <w:rPr>
          <w:rFonts w:ascii="Calibri" w:eastAsia="Calibri" w:hAnsi="Calibri" w:cs="Times New Roman"/>
          <w:lang w:eastAsia="en-US"/>
        </w:rPr>
        <w:t>W</w:t>
      </w:r>
      <w:r>
        <w:rPr>
          <w:rFonts w:ascii="Calibri" w:eastAsia="Calibri" w:hAnsi="Calibri" w:cs="Times New Roman"/>
          <w:lang w:eastAsia="en-US"/>
        </w:rPr>
        <w:t xml:space="preserve">e have much higher levels of voids that many of our peers, 41 as against an average of 25 for SHAPE and SPBM peers.  In addition, as a result of the </w:t>
      </w:r>
      <w:r w:rsidR="00F26ED4">
        <w:rPr>
          <w:rFonts w:ascii="Calibri" w:eastAsia="Calibri" w:hAnsi="Calibri" w:cs="Times New Roman"/>
          <w:lang w:eastAsia="en-US"/>
        </w:rPr>
        <w:t>high rate of turnover, the costs of voids in these properties are often higher than usual.</w:t>
      </w:r>
    </w:p>
    <w:tbl>
      <w:tblP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559"/>
        <w:gridCol w:w="1417"/>
        <w:gridCol w:w="1560"/>
        <w:gridCol w:w="1560"/>
      </w:tblGrid>
      <w:tr w:rsidR="0020403A" w:rsidRPr="008049CD" w14:paraId="180836F5" w14:textId="5EA71BB9" w:rsidTr="0020403A">
        <w:trPr>
          <w:trHeight w:val="634"/>
        </w:trPr>
        <w:tc>
          <w:tcPr>
            <w:tcW w:w="2122" w:type="dxa"/>
            <w:shd w:val="clear" w:color="auto" w:fill="000000"/>
          </w:tcPr>
          <w:p w14:paraId="54D6CE0C" w14:textId="77777777" w:rsidR="0020403A" w:rsidRPr="008049CD" w:rsidRDefault="0020403A" w:rsidP="008049CD">
            <w:pPr>
              <w:rPr>
                <w:rFonts w:ascii="Calibri" w:eastAsia="Calibri" w:hAnsi="Calibri" w:cs="Times New Roman"/>
                <w:sz w:val="18"/>
                <w:szCs w:val="18"/>
                <w:lang w:eastAsia="en-US"/>
              </w:rPr>
            </w:pPr>
            <w:r w:rsidRPr="008049CD">
              <w:rPr>
                <w:rFonts w:ascii="Calibri" w:eastAsia="Calibri" w:hAnsi="Calibri" w:cs="Times New Roman"/>
                <w:b/>
                <w:bCs/>
                <w:sz w:val="18"/>
                <w:szCs w:val="18"/>
                <w:lang w:eastAsia="en-US"/>
              </w:rPr>
              <w:t xml:space="preserve">Measure </w:t>
            </w:r>
          </w:p>
        </w:tc>
        <w:tc>
          <w:tcPr>
            <w:tcW w:w="1559" w:type="dxa"/>
            <w:shd w:val="clear" w:color="auto" w:fill="000000"/>
          </w:tcPr>
          <w:p w14:paraId="4FAB9633" w14:textId="77777777" w:rsidR="0020403A" w:rsidRPr="008049CD" w:rsidRDefault="0020403A" w:rsidP="008049CD">
            <w:pPr>
              <w:rPr>
                <w:rFonts w:ascii="Calibri" w:eastAsia="Calibri" w:hAnsi="Calibri" w:cs="Times New Roman"/>
                <w:b/>
                <w:bCs/>
                <w:sz w:val="18"/>
                <w:szCs w:val="18"/>
                <w:lang w:eastAsia="en-US"/>
              </w:rPr>
            </w:pPr>
            <w:r w:rsidRPr="008049CD">
              <w:rPr>
                <w:rFonts w:ascii="Calibri" w:eastAsia="Calibri" w:hAnsi="Calibri" w:cs="Times New Roman"/>
                <w:b/>
                <w:bCs/>
                <w:sz w:val="18"/>
                <w:szCs w:val="18"/>
                <w:lang w:eastAsia="en-US"/>
              </w:rPr>
              <w:t>SPBM median</w:t>
            </w:r>
          </w:p>
        </w:tc>
        <w:tc>
          <w:tcPr>
            <w:tcW w:w="1417" w:type="dxa"/>
            <w:shd w:val="clear" w:color="auto" w:fill="000000"/>
          </w:tcPr>
          <w:p w14:paraId="04ADF554" w14:textId="77777777" w:rsidR="0020403A" w:rsidRPr="008049CD" w:rsidRDefault="0020403A" w:rsidP="008049CD">
            <w:pPr>
              <w:rPr>
                <w:rFonts w:ascii="Calibri" w:eastAsia="Calibri" w:hAnsi="Calibri" w:cs="Times New Roman"/>
                <w:sz w:val="18"/>
                <w:szCs w:val="18"/>
                <w:lang w:eastAsia="en-US"/>
              </w:rPr>
            </w:pPr>
            <w:r w:rsidRPr="008049CD">
              <w:rPr>
                <w:rFonts w:ascii="Calibri" w:eastAsia="Calibri" w:hAnsi="Calibri" w:cs="Times New Roman"/>
                <w:b/>
                <w:bCs/>
                <w:sz w:val="18"/>
                <w:szCs w:val="18"/>
                <w:lang w:eastAsia="en-US"/>
              </w:rPr>
              <w:t xml:space="preserve">SHAPE Benchmarking Group median </w:t>
            </w:r>
          </w:p>
        </w:tc>
        <w:tc>
          <w:tcPr>
            <w:tcW w:w="1560" w:type="dxa"/>
            <w:shd w:val="clear" w:color="auto" w:fill="000000"/>
          </w:tcPr>
          <w:p w14:paraId="20A93FFB" w14:textId="78DF00E1" w:rsidR="0020403A" w:rsidRPr="008049CD" w:rsidRDefault="0020403A" w:rsidP="008049CD">
            <w:pPr>
              <w:rPr>
                <w:rFonts w:ascii="Calibri" w:eastAsia="Calibri" w:hAnsi="Calibri" w:cs="Times New Roman"/>
                <w:sz w:val="18"/>
                <w:szCs w:val="18"/>
                <w:lang w:eastAsia="en-US"/>
              </w:rPr>
            </w:pPr>
            <w:r w:rsidRPr="008049CD">
              <w:rPr>
                <w:rFonts w:ascii="Calibri" w:eastAsia="Calibri" w:hAnsi="Calibri" w:cs="Times New Roman"/>
                <w:b/>
                <w:bCs/>
                <w:sz w:val="18"/>
                <w:szCs w:val="18"/>
                <w:lang w:eastAsia="en-US"/>
              </w:rPr>
              <w:t>Vectis 201</w:t>
            </w:r>
            <w:r>
              <w:rPr>
                <w:rFonts w:ascii="Calibri" w:eastAsia="Calibri" w:hAnsi="Calibri" w:cs="Times New Roman"/>
                <w:b/>
                <w:bCs/>
                <w:sz w:val="18"/>
                <w:szCs w:val="18"/>
                <w:lang w:eastAsia="en-US"/>
              </w:rPr>
              <w:t>7</w:t>
            </w:r>
            <w:r w:rsidRPr="008049CD">
              <w:rPr>
                <w:rFonts w:ascii="Calibri" w:eastAsia="Calibri" w:hAnsi="Calibri" w:cs="Times New Roman"/>
                <w:b/>
                <w:bCs/>
                <w:sz w:val="18"/>
                <w:szCs w:val="18"/>
                <w:lang w:eastAsia="en-US"/>
              </w:rPr>
              <w:t>/1</w:t>
            </w:r>
            <w:r>
              <w:rPr>
                <w:rFonts w:ascii="Calibri" w:eastAsia="Calibri" w:hAnsi="Calibri" w:cs="Times New Roman"/>
                <w:b/>
                <w:bCs/>
                <w:sz w:val="18"/>
                <w:szCs w:val="18"/>
                <w:lang w:eastAsia="en-US"/>
              </w:rPr>
              <w:t>8</w:t>
            </w:r>
            <w:r w:rsidRPr="008049CD">
              <w:rPr>
                <w:rFonts w:ascii="Calibri" w:eastAsia="Calibri" w:hAnsi="Calibri" w:cs="Times New Roman"/>
                <w:b/>
                <w:bCs/>
                <w:sz w:val="18"/>
                <w:szCs w:val="18"/>
                <w:lang w:eastAsia="en-US"/>
              </w:rPr>
              <w:t xml:space="preserve">  </w:t>
            </w:r>
          </w:p>
        </w:tc>
        <w:tc>
          <w:tcPr>
            <w:tcW w:w="1560" w:type="dxa"/>
            <w:shd w:val="clear" w:color="auto" w:fill="000000" w:themeFill="text1"/>
          </w:tcPr>
          <w:p w14:paraId="4BDF7CF2" w14:textId="3BF47AE4" w:rsidR="0020403A" w:rsidRPr="008049CD" w:rsidRDefault="0020403A" w:rsidP="008049CD">
            <w:pPr>
              <w:rPr>
                <w:rFonts w:ascii="Calibri" w:eastAsia="Calibri" w:hAnsi="Calibri" w:cs="Times New Roman"/>
                <w:b/>
                <w:bCs/>
                <w:sz w:val="18"/>
                <w:szCs w:val="18"/>
                <w:lang w:eastAsia="en-US"/>
              </w:rPr>
            </w:pPr>
            <w:r>
              <w:rPr>
                <w:rFonts w:ascii="Calibri" w:eastAsia="Calibri" w:hAnsi="Calibri" w:cs="Times New Roman"/>
                <w:b/>
                <w:bCs/>
                <w:sz w:val="18"/>
                <w:szCs w:val="18"/>
                <w:lang w:eastAsia="en-US"/>
              </w:rPr>
              <w:t>Vectis 2018/9</w:t>
            </w:r>
          </w:p>
        </w:tc>
      </w:tr>
      <w:tr w:rsidR="0020403A" w:rsidRPr="008049CD" w14:paraId="3935326D" w14:textId="57C9299A" w:rsidTr="0020403A">
        <w:trPr>
          <w:trHeight w:val="103"/>
        </w:trPr>
        <w:tc>
          <w:tcPr>
            <w:tcW w:w="2122" w:type="dxa"/>
          </w:tcPr>
          <w:p w14:paraId="58F76A8B" w14:textId="77777777" w:rsidR="0020403A" w:rsidRPr="008049CD" w:rsidRDefault="0020403A" w:rsidP="008049CD">
            <w:pPr>
              <w:rPr>
                <w:rFonts w:ascii="Calibri" w:eastAsia="Calibri" w:hAnsi="Calibri" w:cs="Times New Roman"/>
                <w:lang w:eastAsia="en-US"/>
              </w:rPr>
            </w:pPr>
            <w:r w:rsidRPr="008049CD">
              <w:rPr>
                <w:rFonts w:ascii="Calibri" w:eastAsia="Calibri" w:hAnsi="Calibri" w:cs="Times New Roman"/>
                <w:lang w:eastAsia="en-US"/>
              </w:rPr>
              <w:t xml:space="preserve">Reactive Maintenance expenditure per property per week </w:t>
            </w:r>
          </w:p>
        </w:tc>
        <w:tc>
          <w:tcPr>
            <w:tcW w:w="1559" w:type="dxa"/>
          </w:tcPr>
          <w:p w14:paraId="26BF49E3" w14:textId="0C94E924" w:rsidR="0020403A" w:rsidRPr="008049CD" w:rsidRDefault="0020403A" w:rsidP="008049CD">
            <w:pPr>
              <w:jc w:val="center"/>
              <w:rPr>
                <w:rFonts w:ascii="Calibri" w:eastAsia="Calibri" w:hAnsi="Calibri" w:cs="Times New Roman"/>
                <w:lang w:eastAsia="en-US"/>
              </w:rPr>
            </w:pPr>
            <w:r w:rsidRPr="008049CD">
              <w:rPr>
                <w:rFonts w:ascii="Calibri" w:eastAsia="Calibri" w:hAnsi="Calibri" w:cs="Times New Roman"/>
                <w:lang w:eastAsia="en-US"/>
              </w:rPr>
              <w:t>£8.</w:t>
            </w:r>
            <w:r>
              <w:rPr>
                <w:rFonts w:ascii="Calibri" w:eastAsia="Calibri" w:hAnsi="Calibri" w:cs="Times New Roman"/>
                <w:lang w:eastAsia="en-US"/>
              </w:rPr>
              <w:t>52</w:t>
            </w:r>
          </w:p>
        </w:tc>
        <w:tc>
          <w:tcPr>
            <w:tcW w:w="1417" w:type="dxa"/>
          </w:tcPr>
          <w:p w14:paraId="138258D1" w14:textId="705DBBE5" w:rsidR="0020403A" w:rsidRPr="008049CD" w:rsidRDefault="0020403A" w:rsidP="008049CD">
            <w:pPr>
              <w:jc w:val="center"/>
              <w:rPr>
                <w:rFonts w:ascii="Calibri" w:eastAsia="Calibri" w:hAnsi="Calibri" w:cs="Times New Roman"/>
                <w:lang w:eastAsia="en-US"/>
              </w:rPr>
            </w:pPr>
            <w:r w:rsidRPr="008049CD">
              <w:rPr>
                <w:rFonts w:ascii="Calibri" w:eastAsia="Calibri" w:hAnsi="Calibri" w:cs="Times New Roman"/>
                <w:lang w:eastAsia="en-US"/>
              </w:rPr>
              <w:t>£</w:t>
            </w:r>
            <w:r>
              <w:rPr>
                <w:rFonts w:ascii="Calibri" w:eastAsia="Calibri" w:hAnsi="Calibri" w:cs="Times New Roman"/>
                <w:lang w:eastAsia="en-US"/>
              </w:rPr>
              <w:t>8</w:t>
            </w:r>
            <w:r w:rsidRPr="008049CD">
              <w:rPr>
                <w:rFonts w:ascii="Calibri" w:eastAsia="Calibri" w:hAnsi="Calibri" w:cs="Times New Roman"/>
                <w:lang w:eastAsia="en-US"/>
              </w:rPr>
              <w:t>.</w:t>
            </w:r>
            <w:r>
              <w:rPr>
                <w:rFonts w:ascii="Calibri" w:eastAsia="Calibri" w:hAnsi="Calibri" w:cs="Times New Roman"/>
                <w:lang w:eastAsia="en-US"/>
              </w:rPr>
              <w:t>54</w:t>
            </w:r>
          </w:p>
        </w:tc>
        <w:tc>
          <w:tcPr>
            <w:tcW w:w="1560" w:type="dxa"/>
          </w:tcPr>
          <w:p w14:paraId="0A960B1E" w14:textId="6BA864F5" w:rsidR="0020403A" w:rsidRPr="008049CD" w:rsidRDefault="0020403A" w:rsidP="008049CD">
            <w:pPr>
              <w:jc w:val="center"/>
              <w:rPr>
                <w:rFonts w:ascii="Calibri" w:eastAsia="Calibri" w:hAnsi="Calibri" w:cs="Times New Roman"/>
                <w:lang w:eastAsia="en-US"/>
              </w:rPr>
            </w:pPr>
            <w:r>
              <w:rPr>
                <w:rFonts w:ascii="Calibri" w:eastAsia="Calibri" w:hAnsi="Calibri" w:cs="Times New Roman"/>
                <w:lang w:eastAsia="en-US"/>
              </w:rPr>
              <w:t>£5.23 (</w:t>
            </w:r>
            <w:r w:rsidRPr="008049CD">
              <w:rPr>
                <w:rFonts w:ascii="Calibri" w:eastAsia="Calibri" w:hAnsi="Calibri" w:cs="Times New Roman"/>
                <w:lang w:eastAsia="en-US"/>
              </w:rPr>
              <w:t>£6.30</w:t>
            </w:r>
            <w:r>
              <w:rPr>
                <w:rFonts w:ascii="Calibri" w:eastAsia="Calibri" w:hAnsi="Calibri" w:cs="Times New Roman"/>
                <w:lang w:eastAsia="en-US"/>
              </w:rPr>
              <w:t>)</w:t>
            </w:r>
          </w:p>
        </w:tc>
        <w:tc>
          <w:tcPr>
            <w:tcW w:w="1560" w:type="dxa"/>
          </w:tcPr>
          <w:p w14:paraId="5B4DE30B" w14:textId="5BB86EA3" w:rsidR="0020403A" w:rsidRDefault="0020403A" w:rsidP="008049CD">
            <w:pPr>
              <w:jc w:val="center"/>
              <w:rPr>
                <w:rFonts w:ascii="Calibri" w:eastAsia="Calibri" w:hAnsi="Calibri" w:cs="Times New Roman"/>
                <w:lang w:eastAsia="en-US"/>
              </w:rPr>
            </w:pPr>
            <w:r>
              <w:rPr>
                <w:rFonts w:ascii="Calibri" w:eastAsia="Calibri" w:hAnsi="Calibri" w:cs="Times New Roman"/>
                <w:lang w:eastAsia="en-US"/>
              </w:rPr>
              <w:t>£7.47</w:t>
            </w:r>
          </w:p>
        </w:tc>
      </w:tr>
      <w:tr w:rsidR="0020403A" w:rsidRPr="008049CD" w14:paraId="48B4D392" w14:textId="560BFEA0" w:rsidTr="0020403A">
        <w:trPr>
          <w:trHeight w:val="103"/>
        </w:trPr>
        <w:tc>
          <w:tcPr>
            <w:tcW w:w="2122" w:type="dxa"/>
          </w:tcPr>
          <w:p w14:paraId="48DC3FBC" w14:textId="77777777" w:rsidR="0020403A" w:rsidRPr="008049CD" w:rsidRDefault="0020403A" w:rsidP="008049CD">
            <w:pPr>
              <w:rPr>
                <w:rFonts w:ascii="Calibri" w:eastAsia="Calibri" w:hAnsi="Calibri" w:cs="Times New Roman"/>
                <w:lang w:eastAsia="en-US"/>
              </w:rPr>
            </w:pPr>
            <w:r w:rsidRPr="008049CD">
              <w:rPr>
                <w:rFonts w:ascii="Calibri" w:eastAsia="Calibri" w:hAnsi="Calibri" w:cs="Times New Roman"/>
                <w:lang w:eastAsia="en-US"/>
              </w:rPr>
              <w:t>Cyclical Maintenance expenditure per property per week</w:t>
            </w:r>
          </w:p>
        </w:tc>
        <w:tc>
          <w:tcPr>
            <w:tcW w:w="1559" w:type="dxa"/>
          </w:tcPr>
          <w:p w14:paraId="4485FBB8" w14:textId="46E47164" w:rsidR="0020403A" w:rsidRPr="008049CD" w:rsidRDefault="0020403A" w:rsidP="008049CD">
            <w:pPr>
              <w:jc w:val="center"/>
              <w:rPr>
                <w:rFonts w:ascii="Calibri" w:eastAsia="Calibri" w:hAnsi="Calibri" w:cs="Times New Roman"/>
                <w:lang w:eastAsia="en-US"/>
              </w:rPr>
            </w:pPr>
            <w:r w:rsidRPr="008049CD">
              <w:rPr>
                <w:rFonts w:ascii="Calibri" w:eastAsia="Calibri" w:hAnsi="Calibri" w:cs="Times New Roman"/>
                <w:lang w:eastAsia="en-US"/>
              </w:rPr>
              <w:t>£</w:t>
            </w:r>
            <w:r>
              <w:rPr>
                <w:rFonts w:ascii="Calibri" w:eastAsia="Calibri" w:hAnsi="Calibri" w:cs="Times New Roman"/>
                <w:lang w:eastAsia="en-US"/>
              </w:rPr>
              <w:t>4</w:t>
            </w:r>
            <w:r w:rsidRPr="008049CD">
              <w:rPr>
                <w:rFonts w:ascii="Calibri" w:eastAsia="Calibri" w:hAnsi="Calibri" w:cs="Times New Roman"/>
                <w:lang w:eastAsia="en-US"/>
              </w:rPr>
              <w:t>.</w:t>
            </w:r>
            <w:r>
              <w:rPr>
                <w:rFonts w:ascii="Calibri" w:eastAsia="Calibri" w:hAnsi="Calibri" w:cs="Times New Roman"/>
                <w:lang w:eastAsia="en-US"/>
              </w:rPr>
              <w:t>05</w:t>
            </w:r>
          </w:p>
        </w:tc>
        <w:tc>
          <w:tcPr>
            <w:tcW w:w="1417" w:type="dxa"/>
          </w:tcPr>
          <w:p w14:paraId="63169550" w14:textId="713028EC" w:rsidR="0020403A" w:rsidRPr="008049CD" w:rsidRDefault="0020403A" w:rsidP="008049CD">
            <w:pPr>
              <w:jc w:val="center"/>
              <w:rPr>
                <w:rFonts w:ascii="Calibri" w:eastAsia="Calibri" w:hAnsi="Calibri" w:cs="Times New Roman"/>
                <w:lang w:eastAsia="en-US"/>
              </w:rPr>
            </w:pPr>
            <w:r w:rsidRPr="008049CD">
              <w:rPr>
                <w:rFonts w:ascii="Calibri" w:eastAsia="Calibri" w:hAnsi="Calibri" w:cs="Times New Roman"/>
                <w:lang w:eastAsia="en-US"/>
              </w:rPr>
              <w:t>£</w:t>
            </w:r>
            <w:r>
              <w:rPr>
                <w:rFonts w:ascii="Calibri" w:eastAsia="Calibri" w:hAnsi="Calibri" w:cs="Times New Roman"/>
                <w:lang w:eastAsia="en-US"/>
              </w:rPr>
              <w:t>4</w:t>
            </w:r>
            <w:r w:rsidRPr="008049CD">
              <w:rPr>
                <w:rFonts w:ascii="Calibri" w:eastAsia="Calibri" w:hAnsi="Calibri" w:cs="Times New Roman"/>
                <w:lang w:eastAsia="en-US"/>
              </w:rPr>
              <w:t>.3</w:t>
            </w:r>
            <w:r>
              <w:rPr>
                <w:rFonts w:ascii="Calibri" w:eastAsia="Calibri" w:hAnsi="Calibri" w:cs="Times New Roman"/>
                <w:lang w:eastAsia="en-US"/>
              </w:rPr>
              <w:t>9</w:t>
            </w:r>
          </w:p>
        </w:tc>
        <w:tc>
          <w:tcPr>
            <w:tcW w:w="1560" w:type="dxa"/>
          </w:tcPr>
          <w:p w14:paraId="746B053C" w14:textId="0BC1A188" w:rsidR="0020403A" w:rsidRPr="008049CD" w:rsidRDefault="0020403A" w:rsidP="008049CD">
            <w:pPr>
              <w:jc w:val="center"/>
              <w:rPr>
                <w:rFonts w:ascii="Calibri" w:eastAsia="Calibri" w:hAnsi="Calibri" w:cs="Times New Roman"/>
                <w:lang w:eastAsia="en-US"/>
              </w:rPr>
            </w:pPr>
            <w:r>
              <w:rPr>
                <w:rFonts w:ascii="Calibri" w:eastAsia="Calibri" w:hAnsi="Calibri" w:cs="Times New Roman"/>
                <w:lang w:eastAsia="en-US"/>
              </w:rPr>
              <w:t>£3.98 (</w:t>
            </w:r>
            <w:r w:rsidRPr="008049CD">
              <w:rPr>
                <w:rFonts w:ascii="Calibri" w:eastAsia="Calibri" w:hAnsi="Calibri" w:cs="Times New Roman"/>
                <w:lang w:eastAsia="en-US"/>
              </w:rPr>
              <w:t>£4.49</w:t>
            </w:r>
            <w:r>
              <w:rPr>
                <w:rFonts w:ascii="Calibri" w:eastAsia="Calibri" w:hAnsi="Calibri" w:cs="Times New Roman"/>
                <w:lang w:eastAsia="en-US"/>
              </w:rPr>
              <w:t>)</w:t>
            </w:r>
          </w:p>
        </w:tc>
        <w:tc>
          <w:tcPr>
            <w:tcW w:w="1560" w:type="dxa"/>
          </w:tcPr>
          <w:p w14:paraId="253433F7" w14:textId="32E316A6" w:rsidR="0020403A" w:rsidRDefault="0020403A" w:rsidP="008049CD">
            <w:pPr>
              <w:jc w:val="center"/>
              <w:rPr>
                <w:rFonts w:ascii="Calibri" w:eastAsia="Calibri" w:hAnsi="Calibri" w:cs="Times New Roman"/>
                <w:lang w:eastAsia="en-US"/>
              </w:rPr>
            </w:pPr>
            <w:r>
              <w:rPr>
                <w:rFonts w:ascii="Calibri" w:eastAsia="Calibri" w:hAnsi="Calibri" w:cs="Times New Roman"/>
                <w:lang w:eastAsia="en-US"/>
              </w:rPr>
              <w:t>£4.89</w:t>
            </w:r>
          </w:p>
        </w:tc>
      </w:tr>
      <w:tr w:rsidR="0020403A" w:rsidRPr="008049CD" w14:paraId="6721894C" w14:textId="5EBA5D86" w:rsidTr="0020403A">
        <w:trPr>
          <w:trHeight w:val="103"/>
        </w:trPr>
        <w:tc>
          <w:tcPr>
            <w:tcW w:w="2122" w:type="dxa"/>
          </w:tcPr>
          <w:p w14:paraId="5C255CC8" w14:textId="77777777" w:rsidR="0020403A" w:rsidRPr="008049CD" w:rsidRDefault="0020403A" w:rsidP="008049CD">
            <w:pPr>
              <w:rPr>
                <w:rFonts w:ascii="Calibri" w:eastAsia="Calibri" w:hAnsi="Calibri" w:cs="Times New Roman"/>
                <w:lang w:eastAsia="en-US"/>
              </w:rPr>
            </w:pPr>
            <w:r w:rsidRPr="008049CD">
              <w:rPr>
                <w:rFonts w:ascii="Calibri" w:eastAsia="Calibri" w:hAnsi="Calibri" w:cs="Times New Roman"/>
                <w:lang w:eastAsia="en-US"/>
              </w:rPr>
              <w:t>Major repair expenditure per property per week</w:t>
            </w:r>
          </w:p>
        </w:tc>
        <w:tc>
          <w:tcPr>
            <w:tcW w:w="1559" w:type="dxa"/>
          </w:tcPr>
          <w:p w14:paraId="20654F35" w14:textId="23C7256A" w:rsidR="0020403A" w:rsidRPr="008049CD" w:rsidRDefault="0020403A" w:rsidP="008049CD">
            <w:pPr>
              <w:jc w:val="center"/>
              <w:rPr>
                <w:rFonts w:ascii="Calibri" w:eastAsia="Calibri" w:hAnsi="Calibri" w:cs="Times New Roman"/>
                <w:lang w:eastAsia="en-US"/>
              </w:rPr>
            </w:pPr>
            <w:r w:rsidRPr="008049CD">
              <w:rPr>
                <w:rFonts w:ascii="Calibri" w:eastAsia="Calibri" w:hAnsi="Calibri" w:cs="Times New Roman"/>
                <w:lang w:eastAsia="en-US"/>
              </w:rPr>
              <w:t>£10.</w:t>
            </w:r>
            <w:r>
              <w:rPr>
                <w:rFonts w:ascii="Calibri" w:eastAsia="Calibri" w:hAnsi="Calibri" w:cs="Times New Roman"/>
                <w:lang w:eastAsia="en-US"/>
              </w:rPr>
              <w:t>03</w:t>
            </w:r>
          </w:p>
        </w:tc>
        <w:tc>
          <w:tcPr>
            <w:tcW w:w="1417" w:type="dxa"/>
          </w:tcPr>
          <w:p w14:paraId="699C62F7" w14:textId="1D3CBC97" w:rsidR="0020403A" w:rsidRPr="008049CD" w:rsidRDefault="0020403A" w:rsidP="008049CD">
            <w:pPr>
              <w:jc w:val="center"/>
              <w:rPr>
                <w:rFonts w:ascii="Calibri" w:eastAsia="Calibri" w:hAnsi="Calibri" w:cs="Times New Roman"/>
                <w:lang w:eastAsia="en-US"/>
              </w:rPr>
            </w:pPr>
            <w:r w:rsidRPr="008049CD">
              <w:rPr>
                <w:rFonts w:ascii="Calibri" w:eastAsia="Calibri" w:hAnsi="Calibri" w:cs="Times New Roman"/>
                <w:lang w:eastAsia="en-US"/>
              </w:rPr>
              <w:t>£1</w:t>
            </w:r>
            <w:r>
              <w:rPr>
                <w:rFonts w:ascii="Calibri" w:eastAsia="Calibri" w:hAnsi="Calibri" w:cs="Times New Roman"/>
                <w:lang w:eastAsia="en-US"/>
              </w:rPr>
              <w:t>2</w:t>
            </w:r>
            <w:r w:rsidRPr="008049CD">
              <w:rPr>
                <w:rFonts w:ascii="Calibri" w:eastAsia="Calibri" w:hAnsi="Calibri" w:cs="Times New Roman"/>
                <w:lang w:eastAsia="en-US"/>
              </w:rPr>
              <w:t>.</w:t>
            </w:r>
            <w:r>
              <w:rPr>
                <w:rFonts w:ascii="Calibri" w:eastAsia="Calibri" w:hAnsi="Calibri" w:cs="Times New Roman"/>
                <w:lang w:eastAsia="en-US"/>
              </w:rPr>
              <w:t>32</w:t>
            </w:r>
          </w:p>
        </w:tc>
        <w:tc>
          <w:tcPr>
            <w:tcW w:w="1560" w:type="dxa"/>
          </w:tcPr>
          <w:p w14:paraId="2F8D9F35" w14:textId="66FA40FC" w:rsidR="0020403A" w:rsidRPr="008049CD" w:rsidRDefault="0020403A" w:rsidP="008049CD">
            <w:pPr>
              <w:jc w:val="center"/>
              <w:rPr>
                <w:rFonts w:ascii="Calibri" w:eastAsia="Calibri" w:hAnsi="Calibri" w:cs="Times New Roman"/>
                <w:lang w:eastAsia="en-US"/>
              </w:rPr>
            </w:pPr>
            <w:r>
              <w:rPr>
                <w:rFonts w:ascii="Calibri" w:eastAsia="Calibri" w:hAnsi="Calibri" w:cs="Times New Roman"/>
                <w:lang w:eastAsia="en-US"/>
              </w:rPr>
              <w:t>£12.97 (</w:t>
            </w:r>
            <w:r w:rsidRPr="008049CD">
              <w:rPr>
                <w:rFonts w:ascii="Calibri" w:eastAsia="Calibri" w:hAnsi="Calibri" w:cs="Times New Roman"/>
                <w:lang w:eastAsia="en-US"/>
              </w:rPr>
              <w:t>£15.42</w:t>
            </w:r>
            <w:r>
              <w:rPr>
                <w:rFonts w:ascii="Calibri" w:eastAsia="Calibri" w:hAnsi="Calibri" w:cs="Times New Roman"/>
                <w:lang w:eastAsia="en-US"/>
              </w:rPr>
              <w:t>)</w:t>
            </w:r>
          </w:p>
        </w:tc>
        <w:tc>
          <w:tcPr>
            <w:tcW w:w="1560" w:type="dxa"/>
          </w:tcPr>
          <w:p w14:paraId="2EA2D2DE" w14:textId="3AAD7038" w:rsidR="0020403A" w:rsidRDefault="0020403A" w:rsidP="008049CD">
            <w:pPr>
              <w:jc w:val="center"/>
              <w:rPr>
                <w:rFonts w:ascii="Calibri" w:eastAsia="Calibri" w:hAnsi="Calibri" w:cs="Times New Roman"/>
                <w:lang w:eastAsia="en-US"/>
              </w:rPr>
            </w:pPr>
            <w:r>
              <w:rPr>
                <w:rFonts w:ascii="Calibri" w:eastAsia="Calibri" w:hAnsi="Calibri" w:cs="Times New Roman"/>
                <w:lang w:eastAsia="en-US"/>
              </w:rPr>
              <w:t>£14.83</w:t>
            </w:r>
          </w:p>
        </w:tc>
      </w:tr>
    </w:tbl>
    <w:p w14:paraId="35B0A377" w14:textId="3DE46925" w:rsidR="00E6397C" w:rsidRDefault="00E6397C">
      <w:pPr>
        <w:pStyle w:val="Caption"/>
      </w:pPr>
      <w:r>
        <w:lastRenderedPageBreak/>
        <w:t xml:space="preserve">Table </w:t>
      </w:r>
      <w:r w:rsidR="0027633B">
        <w:fldChar w:fldCharType="begin"/>
      </w:r>
      <w:r w:rsidR="0027633B">
        <w:instrText xml:space="preserve"> SEQ Table \* ARABIC </w:instrText>
      </w:r>
      <w:r w:rsidR="0027633B">
        <w:fldChar w:fldCharType="separate"/>
      </w:r>
      <w:r w:rsidR="00AD5A6B">
        <w:rPr>
          <w:noProof/>
        </w:rPr>
        <w:t>4</w:t>
      </w:r>
      <w:r w:rsidR="0027633B">
        <w:rPr>
          <w:noProof/>
        </w:rPr>
        <w:fldChar w:fldCharType="end"/>
      </w:r>
    </w:p>
    <w:p w14:paraId="5B8FE5C1" w14:textId="608C421B" w:rsidR="00F26ED4" w:rsidRDefault="00F26ED4" w:rsidP="00F26ED4">
      <w:pPr>
        <w:ind w:left="360" w:hanging="360"/>
      </w:pPr>
      <w:r w:rsidRPr="00F26ED4">
        <w:t>4.4</w:t>
      </w:r>
      <w:r>
        <w:tab/>
        <w:t xml:space="preserve">We have continued to </w:t>
      </w:r>
      <w:r w:rsidR="002209A1">
        <w:t>realise</w:t>
      </w:r>
      <w:r>
        <w:t xml:space="preserve"> positive cost outcomes in our property </w:t>
      </w:r>
      <w:r w:rsidR="002209A1">
        <w:t>ex</w:t>
      </w:r>
      <w:r w:rsidR="00062C13">
        <w:t>penditure</w:t>
      </w:r>
      <w:r>
        <w:t xml:space="preserve"> as a result of a new single contractor agreement for responsive repairs, which has improved efficiency</w:t>
      </w:r>
      <w:r w:rsidR="00062C13">
        <w:t>.  We have also extended that arrangement to include gas servicing, which has also proved a positive development.</w:t>
      </w:r>
    </w:p>
    <w:p w14:paraId="035FF7D6" w14:textId="6B2CF7AD" w:rsidR="00F26ED4" w:rsidRPr="00F26ED4" w:rsidRDefault="00F26ED4" w:rsidP="00F26ED4">
      <w:pPr>
        <w:ind w:left="360" w:hanging="360"/>
      </w:pPr>
      <w:r>
        <w:t>4.5</w:t>
      </w:r>
      <w:r>
        <w:tab/>
      </w:r>
      <w:r w:rsidR="00062C13">
        <w:t>I</w:t>
      </w:r>
      <w:r>
        <w:t xml:space="preserve">n accordance with our Asset Management Strategy, </w:t>
      </w:r>
      <w:r w:rsidR="00062C13">
        <w:t xml:space="preserve">which seeks to </w:t>
      </w:r>
      <w:r>
        <w:t xml:space="preserve">dispose of properties that </w:t>
      </w:r>
      <w:r w:rsidR="00062C13">
        <w:t xml:space="preserve">are </w:t>
      </w:r>
      <w:r>
        <w:t>expensive to repair over the longer term</w:t>
      </w:r>
      <w:r w:rsidR="00062C13">
        <w:t xml:space="preserve"> we are looking to market 2/3 properties in the current financial year</w:t>
      </w:r>
      <w:r>
        <w:t xml:space="preserve">.  The benefit of the income generated by the market sale of </w:t>
      </w:r>
      <w:r w:rsidR="00062C13">
        <w:t>such</w:t>
      </w:r>
      <w:r>
        <w:t xml:space="preserve"> properties, combined with the </w:t>
      </w:r>
      <w:r w:rsidR="00F05D93">
        <w:t>long-term</w:t>
      </w:r>
      <w:r>
        <w:t xml:space="preserve"> repairs savings w</w:t>
      </w:r>
      <w:r w:rsidR="00062C13">
        <w:t>ould</w:t>
      </w:r>
      <w:r>
        <w:t xml:space="preserve"> allow us to replace them with new homes at a lower cost.</w:t>
      </w:r>
    </w:p>
    <w:p w14:paraId="35DC58B8" w14:textId="39733156" w:rsidR="0047287C" w:rsidRDefault="0047287C" w:rsidP="000A14B1">
      <w:pPr>
        <w:pStyle w:val="ListParagraph"/>
        <w:numPr>
          <w:ilvl w:val="0"/>
          <w:numId w:val="2"/>
        </w:numPr>
        <w:rPr>
          <w:b/>
        </w:rPr>
      </w:pPr>
      <w:r w:rsidRPr="000A14B1">
        <w:rPr>
          <w:b/>
        </w:rPr>
        <w:t>New Homes</w:t>
      </w:r>
    </w:p>
    <w:p w14:paraId="133876D4" w14:textId="77777777" w:rsidR="00BF073D" w:rsidRPr="000A14B1" w:rsidRDefault="00BF073D" w:rsidP="00BF073D">
      <w:pPr>
        <w:pStyle w:val="ListParagraph"/>
        <w:ind w:left="360"/>
        <w:rPr>
          <w:b/>
        </w:rPr>
      </w:pPr>
    </w:p>
    <w:p w14:paraId="65252A76" w14:textId="7BC30000" w:rsidR="00BF073D" w:rsidRDefault="006C1661" w:rsidP="00BF073D">
      <w:pPr>
        <w:pStyle w:val="ListParagraph"/>
        <w:numPr>
          <w:ilvl w:val="1"/>
          <w:numId w:val="2"/>
        </w:numPr>
      </w:pPr>
      <w:r>
        <w:t xml:space="preserve">We have delivered </w:t>
      </w:r>
      <w:r w:rsidR="00062C13">
        <w:t>4</w:t>
      </w:r>
      <w:r>
        <w:t xml:space="preserve"> new homes for s</w:t>
      </w:r>
      <w:r w:rsidR="00062C13">
        <w:t>hared ownership</w:t>
      </w:r>
      <w:r>
        <w:t xml:space="preserve"> and rent over the past year and started </w:t>
      </w:r>
      <w:r w:rsidR="00062C13">
        <w:t>31</w:t>
      </w:r>
      <w:r>
        <w:t xml:space="preserve"> more.  We </w:t>
      </w:r>
      <w:r w:rsidR="00062C13">
        <w:t>have</w:t>
      </w:r>
      <w:r>
        <w:t xml:space="preserve"> </w:t>
      </w:r>
      <w:r w:rsidR="00062C13">
        <w:t>aimed</w:t>
      </w:r>
      <w:r>
        <w:t xml:space="preserve"> to producing in excess of 25 units per annum and </w:t>
      </w:r>
      <w:r w:rsidR="00062C13">
        <w:t xml:space="preserve">continue to </w:t>
      </w:r>
      <w:r w:rsidR="00BF073D">
        <w:t>explor</w:t>
      </w:r>
      <w:r w:rsidR="00062C13">
        <w:t>e</w:t>
      </w:r>
      <w:r w:rsidR="00BF073D">
        <w:t xml:space="preserve"> the possibility for leasing arrangements </w:t>
      </w:r>
      <w:r w:rsidR="00062C13">
        <w:t>on others</w:t>
      </w:r>
      <w:r w:rsidR="00BF073D">
        <w:t>.</w:t>
      </w:r>
    </w:p>
    <w:p w14:paraId="61445000" w14:textId="78335A89" w:rsidR="0047287C" w:rsidRDefault="00BF073D" w:rsidP="00BF073D">
      <w:pPr>
        <w:pStyle w:val="ListParagraph"/>
        <w:ind w:left="360"/>
      </w:pPr>
      <w:r>
        <w:tab/>
      </w:r>
    </w:p>
    <w:p w14:paraId="6B1643FA" w14:textId="0B347215" w:rsidR="00BF073D" w:rsidRDefault="00BF073D" w:rsidP="00BF073D">
      <w:pPr>
        <w:pStyle w:val="ListParagraph"/>
        <w:numPr>
          <w:ilvl w:val="1"/>
          <w:numId w:val="2"/>
        </w:numPr>
      </w:pPr>
      <w:r>
        <w:t>Our main vehicle for delivering new homes is as a product of s106 agreements with developers on their sites.  The process of negotiating, appraising and managing these arrangements has taken up an increasing level of resource.</w:t>
      </w:r>
      <w:r w:rsidR="005B02B8">
        <w:t xml:space="preserve">  This has absorbed time and resource from senior staff in VHA and required additional consultant input, adding to our operating costs.</w:t>
      </w:r>
    </w:p>
    <w:p w14:paraId="1F1DA7AE" w14:textId="77777777" w:rsidR="00BF073D" w:rsidRDefault="00BF073D" w:rsidP="00BF073D">
      <w:pPr>
        <w:pStyle w:val="ListParagraph"/>
      </w:pPr>
    </w:p>
    <w:p w14:paraId="5236E5E0" w14:textId="55843D0C" w:rsidR="00BF073D" w:rsidRDefault="00062C13" w:rsidP="00BF073D">
      <w:pPr>
        <w:pStyle w:val="ListParagraph"/>
        <w:numPr>
          <w:ilvl w:val="1"/>
          <w:numId w:val="2"/>
        </w:numPr>
      </w:pPr>
      <w:r>
        <w:t xml:space="preserve">Our status of </w:t>
      </w:r>
      <w:r w:rsidR="00BF073D">
        <w:t xml:space="preserve">Investment Partners with Homes England </w:t>
      </w:r>
      <w:r>
        <w:t>also</w:t>
      </w:r>
      <w:r w:rsidR="00BF073D">
        <w:t xml:space="preserve"> brings with it an additional level of bureaucracy and monitoring</w:t>
      </w:r>
      <w:r>
        <w:t>, including a scheme audit</w:t>
      </w:r>
      <w:r w:rsidR="00BF073D">
        <w:t>.</w:t>
      </w:r>
      <w:r w:rsidR="005B02B8">
        <w:t xml:space="preserve">  However, this arrangement has already enable</w:t>
      </w:r>
      <w:r>
        <w:t>d</w:t>
      </w:r>
      <w:r w:rsidR="005B02B8">
        <w:t xml:space="preserve"> us to procure </w:t>
      </w:r>
      <w:r>
        <w:t>two</w:t>
      </w:r>
      <w:r w:rsidR="005B02B8">
        <w:t xml:space="preserve"> dwelling</w:t>
      </w:r>
      <w:r>
        <w:t>s</w:t>
      </w:r>
      <w:r w:rsidR="005B02B8">
        <w:t xml:space="preserve"> under the HOLD scheme, with a further </w:t>
      </w:r>
      <w:r>
        <w:t>one</w:t>
      </w:r>
      <w:r w:rsidR="005B02B8">
        <w:t xml:space="preserve"> in the pipeline</w:t>
      </w:r>
      <w:r>
        <w:t xml:space="preserve"> and over £350,000 grant for new homes.</w:t>
      </w:r>
    </w:p>
    <w:p w14:paraId="553BA547" w14:textId="77777777" w:rsidR="005B02B8" w:rsidRDefault="005B02B8" w:rsidP="005B02B8">
      <w:pPr>
        <w:pStyle w:val="ListParagraph"/>
      </w:pPr>
    </w:p>
    <w:p w14:paraId="45E65FBE" w14:textId="5F057D88" w:rsidR="00EA03A3" w:rsidRPr="000A14B1" w:rsidRDefault="00EA03A3" w:rsidP="000A14B1">
      <w:pPr>
        <w:pStyle w:val="ListParagraph"/>
        <w:numPr>
          <w:ilvl w:val="0"/>
          <w:numId w:val="2"/>
        </w:numPr>
        <w:rPr>
          <w:b/>
        </w:rPr>
      </w:pPr>
      <w:r w:rsidRPr="000A14B1">
        <w:rPr>
          <w:b/>
        </w:rPr>
        <w:t>Community Investment</w:t>
      </w:r>
    </w:p>
    <w:p w14:paraId="1EAF1A50" w14:textId="1FA73A8E" w:rsidR="008C01F9" w:rsidRDefault="004C6200" w:rsidP="000A14B1">
      <w:pPr>
        <w:ind w:left="360" w:hanging="360"/>
        <w:jc w:val="both"/>
      </w:pPr>
      <w:r>
        <w:t>6.1</w:t>
      </w:r>
      <w:r>
        <w:tab/>
      </w:r>
      <w:r w:rsidR="008C01F9">
        <w:t xml:space="preserve">We </w:t>
      </w:r>
      <w:r w:rsidR="00062C13">
        <w:t xml:space="preserve">have </w:t>
      </w:r>
      <w:r w:rsidR="008C01F9">
        <w:t>continue</w:t>
      </w:r>
      <w:r w:rsidR="00062C13">
        <w:t>d</w:t>
      </w:r>
      <w:r w:rsidR="008C01F9">
        <w:t xml:space="preserve"> to promote sustainable tenancies, which has significant cost-benefit outcomes for the households and for VHA.  We maintain our focus on social rents as our core business, which we believe is the right tenure for the Isle of Wight.  </w:t>
      </w:r>
    </w:p>
    <w:p w14:paraId="32DC352B" w14:textId="352C1791" w:rsidR="008C01F9" w:rsidRDefault="004C6200" w:rsidP="000A14B1">
      <w:pPr>
        <w:ind w:left="360" w:hanging="360"/>
        <w:jc w:val="both"/>
      </w:pPr>
      <w:r>
        <w:t>6.2</w:t>
      </w:r>
      <w:r>
        <w:tab/>
      </w:r>
      <w:r w:rsidR="008C01F9">
        <w:t>However, affordability is only one of the key components of sustainability.  We have also recognised that investment in supporting and developing communities pays dividends in the medium and long-terms through greater coherence, lower stock turnover, greater financial strength and higher social capital.</w:t>
      </w:r>
    </w:p>
    <w:p w14:paraId="31AC0645" w14:textId="271F97E6" w:rsidR="00F8564C" w:rsidRDefault="004C6200" w:rsidP="00F8564C">
      <w:pPr>
        <w:ind w:left="360" w:hanging="360"/>
        <w:jc w:val="both"/>
      </w:pPr>
      <w:r>
        <w:t>6.3</w:t>
      </w:r>
      <w:r>
        <w:tab/>
      </w:r>
      <w:r w:rsidR="00062C13">
        <w:t>W</w:t>
      </w:r>
      <w:r w:rsidR="008C01F9">
        <w:t>e have adopted our Community Plan, which sets out our continued commitment to this activity</w:t>
      </w:r>
      <w:r w:rsidR="00F8564C" w:rsidRPr="00F8564C">
        <w:t xml:space="preserve"> </w:t>
      </w:r>
      <w:r w:rsidR="00F8564C">
        <w:t>and have looked to support this approach through the establishment of a Communities Panel. This provides a forum for key partners and service users to develop potential ideas and schemes and make proposals to the Board.</w:t>
      </w:r>
      <w:r w:rsidR="008C01F9">
        <w:t xml:space="preserve">  </w:t>
      </w:r>
    </w:p>
    <w:p w14:paraId="71EB25F7" w14:textId="311FE9A5" w:rsidR="008C01F9" w:rsidRDefault="004C6200" w:rsidP="000A14B1">
      <w:pPr>
        <w:ind w:left="360" w:hanging="360"/>
        <w:jc w:val="both"/>
      </w:pPr>
      <w:r>
        <w:t>6.4</w:t>
      </w:r>
      <w:r>
        <w:tab/>
      </w:r>
      <w:r w:rsidR="00F8564C">
        <w:t xml:space="preserve">We are currently in the last year of the Wild About Wight programme, which has </w:t>
      </w:r>
      <w:r w:rsidR="005362CA">
        <w:t xml:space="preserve">directly </w:t>
      </w:r>
      <w:r w:rsidR="00F8564C">
        <w:t xml:space="preserve">brought £250,000 grant onto the Island and provided a range of significant spin-off benefits to VHA in </w:t>
      </w:r>
      <w:r w:rsidR="00F8564C">
        <w:lastRenderedPageBreak/>
        <w:t>having an experienced team in the Association.</w:t>
      </w:r>
      <w:r w:rsidR="005362CA">
        <w:t xml:space="preserve">  In addition, we have attracted a further £40,000 through other grants to support our work with communities.</w:t>
      </w:r>
    </w:p>
    <w:p w14:paraId="276245B8" w14:textId="2F922326" w:rsidR="00353537" w:rsidRDefault="004C6200" w:rsidP="000A14B1">
      <w:pPr>
        <w:ind w:left="360" w:hanging="360"/>
        <w:jc w:val="both"/>
      </w:pPr>
      <w:r>
        <w:t>6.5</w:t>
      </w:r>
      <w:r>
        <w:tab/>
      </w:r>
      <w:r w:rsidR="00353537">
        <w:t>All of these outcomes, together with additional support from the Communities Team into our core management and maintenance functions comes at a cost of only £25,000 per annum, which we believe to be excellent value for money.</w:t>
      </w:r>
    </w:p>
    <w:p w14:paraId="1014DD13" w14:textId="4E56D24A" w:rsidR="00B35E49" w:rsidRDefault="00B35E49" w:rsidP="009C2A00">
      <w:pPr>
        <w:pStyle w:val="ListParagraph"/>
        <w:numPr>
          <w:ilvl w:val="0"/>
          <w:numId w:val="2"/>
        </w:numPr>
        <w:rPr>
          <w:b/>
        </w:rPr>
      </w:pPr>
      <w:r>
        <w:rPr>
          <w:b/>
        </w:rPr>
        <w:t>VfM Savings</w:t>
      </w:r>
    </w:p>
    <w:p w14:paraId="73CE3E17" w14:textId="0E507B83" w:rsidR="00B35E49" w:rsidRPr="00143734" w:rsidRDefault="00143734" w:rsidP="00143734">
      <w:pPr>
        <w:ind w:left="360" w:hanging="360"/>
      </w:pPr>
      <w:r w:rsidRPr="00143734">
        <w:t>7.1</w:t>
      </w:r>
      <w:r w:rsidRPr="00143734">
        <w:tab/>
        <w:t>Over the course of 2017/8</w:t>
      </w:r>
      <w:r>
        <w:t xml:space="preserve"> we have continued to look for greater efficiencies and savings.  Opportunities become less obvious as we have driven operational and procurement savings of £300-400,000 over the last </w:t>
      </w:r>
      <w:r w:rsidR="009462A6">
        <w:t>4-5</w:t>
      </w:r>
      <w:r>
        <w:t xml:space="preserve"> years.</w:t>
      </w:r>
    </w:p>
    <w:p w14:paraId="2210B2A2" w14:textId="1220B878" w:rsidR="00FC497E" w:rsidRPr="00143734" w:rsidRDefault="00143734" w:rsidP="00143734">
      <w:pPr>
        <w:ind w:left="360" w:hanging="360"/>
      </w:pPr>
      <w:r w:rsidRPr="00143734">
        <w:t>7.2</w:t>
      </w:r>
      <w:r w:rsidRPr="00143734">
        <w:tab/>
        <w:t xml:space="preserve">However, </w:t>
      </w:r>
      <w:r w:rsidR="009462A6">
        <w:t>in addition to the on-going annual savings in relation to lower insurance premiums, etc</w:t>
      </w:r>
      <w:r w:rsidRPr="00143734">
        <w:t>.</w:t>
      </w:r>
      <w:r w:rsidR="009462A6">
        <w:t xml:space="preserve"> we have also achieved a further £40,000 in Repairs and Maintenance costs in relation to a mixture of staff savings and procurement benefits.  These will not necessarily be enjoyed in future years.</w:t>
      </w:r>
    </w:p>
    <w:p w14:paraId="7230BAF1" w14:textId="6C8B3E87" w:rsidR="009C2A00" w:rsidRDefault="009C2A00" w:rsidP="009C2A00">
      <w:pPr>
        <w:pStyle w:val="ListParagraph"/>
        <w:numPr>
          <w:ilvl w:val="0"/>
          <w:numId w:val="2"/>
        </w:numPr>
        <w:rPr>
          <w:b/>
        </w:rPr>
      </w:pPr>
      <w:r>
        <w:rPr>
          <w:b/>
        </w:rPr>
        <w:t>Our Future Plans</w:t>
      </w:r>
    </w:p>
    <w:p w14:paraId="34EABA77" w14:textId="77777777" w:rsidR="005B72A0" w:rsidRDefault="005B72A0" w:rsidP="005B72A0">
      <w:pPr>
        <w:pStyle w:val="ListParagraph"/>
        <w:ind w:left="360"/>
        <w:rPr>
          <w:b/>
        </w:rPr>
      </w:pPr>
    </w:p>
    <w:p w14:paraId="5032245E" w14:textId="78682CBF" w:rsidR="0023731E" w:rsidRDefault="005B72A0" w:rsidP="005B72A0">
      <w:pPr>
        <w:pStyle w:val="ListParagraph"/>
        <w:numPr>
          <w:ilvl w:val="1"/>
          <w:numId w:val="2"/>
        </w:numPr>
      </w:pPr>
      <w:r w:rsidRPr="005B72A0">
        <w:t xml:space="preserve">We </w:t>
      </w:r>
      <w:r w:rsidR="009462A6">
        <w:t>remain</w:t>
      </w:r>
      <w:r w:rsidRPr="005B72A0">
        <w:t xml:space="preserve"> acutely aware of the need to continue to drive value in our activities in order to sustain a new homes programme.</w:t>
      </w:r>
    </w:p>
    <w:p w14:paraId="07FC13AB" w14:textId="77777777" w:rsidR="005B72A0" w:rsidRDefault="005B72A0" w:rsidP="005B72A0">
      <w:pPr>
        <w:pStyle w:val="ListParagraph"/>
        <w:ind w:left="360"/>
      </w:pPr>
    </w:p>
    <w:p w14:paraId="2C514DC6" w14:textId="4F7CC650" w:rsidR="005B72A0" w:rsidRDefault="005B72A0" w:rsidP="005B72A0">
      <w:pPr>
        <w:pStyle w:val="ListParagraph"/>
        <w:numPr>
          <w:ilvl w:val="1"/>
          <w:numId w:val="2"/>
        </w:numPr>
      </w:pPr>
      <w:r>
        <w:t>We anticipate an increase in both materials and labour costs over the coming year(s), which we either need to mitigate or absorb in order to keep rents down to acceptable levels.</w:t>
      </w:r>
      <w:r w:rsidR="009462A6">
        <w:t xml:space="preserve">  We are examining opportunities to attract the maximum grant to deliver rent levels that are genuinely affordable to our tenants.  We are also considering the possibility of modular construction methods in </w:t>
      </w:r>
      <w:r w:rsidR="0027633B">
        <w:t>instances where traditional methods of construction may prove not viable.</w:t>
      </w:r>
    </w:p>
    <w:p w14:paraId="120A050A" w14:textId="77777777" w:rsidR="005B72A0" w:rsidRDefault="005B72A0" w:rsidP="005B72A0">
      <w:pPr>
        <w:pStyle w:val="ListParagraph"/>
      </w:pPr>
    </w:p>
    <w:p w14:paraId="1C9B6F50" w14:textId="56909ABF" w:rsidR="005B72A0" w:rsidRDefault="005B72A0" w:rsidP="005B72A0">
      <w:pPr>
        <w:pStyle w:val="ListParagraph"/>
        <w:numPr>
          <w:ilvl w:val="1"/>
          <w:numId w:val="2"/>
        </w:numPr>
      </w:pPr>
      <w:r>
        <w:t xml:space="preserve">We will </w:t>
      </w:r>
      <w:r w:rsidR="0027633B">
        <w:t xml:space="preserve">keep under </w:t>
      </w:r>
      <w:r>
        <w:t>review the cost-benefits of additional in-house operatives to deliver our repairs and maintenance and where possible drive income generation.</w:t>
      </w:r>
      <w:r w:rsidR="0027633B">
        <w:t xml:space="preserve">  It is likely for the foreseeable future that the contracts in place with Mountjoy will represent the most cost-effective means of delivering maintenance services.</w:t>
      </w:r>
    </w:p>
    <w:p w14:paraId="77C76136" w14:textId="77777777" w:rsidR="005B72A0" w:rsidRDefault="005B72A0" w:rsidP="005B72A0">
      <w:pPr>
        <w:pStyle w:val="ListParagraph"/>
      </w:pPr>
    </w:p>
    <w:p w14:paraId="0EF212C9" w14:textId="4FC06577" w:rsidR="005B72A0" w:rsidRDefault="005B72A0" w:rsidP="005B72A0">
      <w:pPr>
        <w:pStyle w:val="ListParagraph"/>
        <w:numPr>
          <w:ilvl w:val="1"/>
          <w:numId w:val="2"/>
        </w:numPr>
      </w:pPr>
      <w:r>
        <w:t xml:space="preserve">We will continue to </w:t>
      </w:r>
      <w:r w:rsidR="0027633B">
        <w:t>promote the</w:t>
      </w:r>
      <w:r>
        <w:t xml:space="preserve"> disposal of unsatisfactory and expensive properties, provided we can replace the numbers more cost-effectively.</w:t>
      </w:r>
    </w:p>
    <w:p w14:paraId="0106F4F8" w14:textId="77777777" w:rsidR="005B72A0" w:rsidRDefault="005B72A0" w:rsidP="005B72A0">
      <w:pPr>
        <w:pStyle w:val="ListParagraph"/>
      </w:pPr>
    </w:p>
    <w:p w14:paraId="41374961" w14:textId="00E4E924" w:rsidR="005B72A0" w:rsidRDefault="005B72A0" w:rsidP="005B72A0">
      <w:pPr>
        <w:pStyle w:val="ListParagraph"/>
        <w:numPr>
          <w:ilvl w:val="1"/>
          <w:numId w:val="2"/>
        </w:numPr>
      </w:pPr>
      <w:r>
        <w:t xml:space="preserve">We </w:t>
      </w:r>
      <w:r w:rsidR="0027633B">
        <w:t>introduce</w:t>
      </w:r>
      <w:r w:rsidR="00634636">
        <w:t xml:space="preserve"> technology where i</w:t>
      </w:r>
      <w:r w:rsidR="0027633B">
        <w:t>t</w:t>
      </w:r>
      <w:r w:rsidR="00634636">
        <w:t xml:space="preserve"> offers improvements in responsiveness, efficiency with no loss of service quality.</w:t>
      </w:r>
      <w:r w:rsidR="0027633B">
        <w:t xml:space="preserve">  Further consideration of approaches to energy efficiency may require investment of this nature.</w:t>
      </w:r>
    </w:p>
    <w:p w14:paraId="075BB944" w14:textId="77777777" w:rsidR="00634636" w:rsidRDefault="00634636" w:rsidP="00634636">
      <w:pPr>
        <w:pStyle w:val="ListParagraph"/>
      </w:pPr>
    </w:p>
    <w:p w14:paraId="60E9E0A3" w14:textId="32F9BE39" w:rsidR="00634636" w:rsidRPr="005B72A0" w:rsidRDefault="00634636" w:rsidP="005B72A0">
      <w:pPr>
        <w:pStyle w:val="ListParagraph"/>
        <w:numPr>
          <w:ilvl w:val="1"/>
          <w:numId w:val="2"/>
        </w:numPr>
      </w:pPr>
      <w:r>
        <w:t>We will work to increase resident involvement in driving and scrutinising value for money outcomes.</w:t>
      </w:r>
    </w:p>
    <w:p w14:paraId="4B2B754C" w14:textId="68D0C0A0" w:rsidR="0023731E" w:rsidRDefault="0023731E" w:rsidP="009C2A00">
      <w:pPr>
        <w:pStyle w:val="ListParagraph"/>
        <w:ind w:left="360"/>
        <w:rPr>
          <w:b/>
        </w:rPr>
      </w:pPr>
    </w:p>
    <w:p w14:paraId="2B7A9CF5" w14:textId="19E4385A" w:rsidR="0027633B" w:rsidRDefault="0027633B" w:rsidP="009C2A00">
      <w:pPr>
        <w:pStyle w:val="ListParagraph"/>
        <w:ind w:left="360"/>
        <w:rPr>
          <w:b/>
        </w:rPr>
      </w:pPr>
    </w:p>
    <w:p w14:paraId="635283E6" w14:textId="6F9AF906" w:rsidR="0027633B" w:rsidRDefault="0027633B" w:rsidP="009C2A00">
      <w:pPr>
        <w:pStyle w:val="ListParagraph"/>
        <w:ind w:left="360"/>
        <w:rPr>
          <w:b/>
        </w:rPr>
      </w:pPr>
    </w:p>
    <w:p w14:paraId="27505FA8" w14:textId="77777777" w:rsidR="0027633B" w:rsidRPr="009C2A00" w:rsidRDefault="0027633B" w:rsidP="009C2A00">
      <w:pPr>
        <w:pStyle w:val="ListParagraph"/>
        <w:ind w:left="360"/>
        <w:rPr>
          <w:b/>
        </w:rPr>
      </w:pPr>
    </w:p>
    <w:p w14:paraId="131539A7" w14:textId="767B66C2" w:rsidR="00BC2A44" w:rsidRPr="009C3E0D" w:rsidRDefault="009C3E0D" w:rsidP="000A14B1">
      <w:pPr>
        <w:pStyle w:val="ListParagraph"/>
        <w:numPr>
          <w:ilvl w:val="0"/>
          <w:numId w:val="2"/>
        </w:numPr>
        <w:rPr>
          <w:b/>
        </w:rPr>
      </w:pPr>
      <w:r w:rsidRPr="009C3E0D">
        <w:rPr>
          <w:b/>
        </w:rPr>
        <w:lastRenderedPageBreak/>
        <w:t>Summary</w:t>
      </w:r>
    </w:p>
    <w:p w14:paraId="557D3BA5" w14:textId="485477CD" w:rsidR="009C3E0D" w:rsidRPr="00E8195A" w:rsidRDefault="005B72A0" w:rsidP="009C3E0D">
      <w:pPr>
        <w:ind w:left="360" w:hanging="360"/>
        <w:jc w:val="both"/>
        <w:rPr>
          <w:rFonts w:ascii="Calibri" w:eastAsia="Calibri" w:hAnsi="Calibri" w:cs="Times New Roman"/>
          <w:lang w:eastAsia="en-US"/>
        </w:rPr>
      </w:pPr>
      <w:r>
        <w:rPr>
          <w:rFonts w:ascii="Calibri" w:eastAsia="Calibri" w:hAnsi="Calibri" w:cs="Times New Roman"/>
          <w:lang w:eastAsia="en-US"/>
        </w:rPr>
        <w:t>9</w:t>
      </w:r>
      <w:r w:rsidR="009C3E0D">
        <w:rPr>
          <w:rFonts w:ascii="Calibri" w:eastAsia="Calibri" w:hAnsi="Calibri" w:cs="Times New Roman"/>
          <w:lang w:eastAsia="en-US"/>
        </w:rPr>
        <w:t>.1</w:t>
      </w:r>
      <w:r w:rsidR="009C3E0D">
        <w:rPr>
          <w:rFonts w:ascii="Calibri" w:eastAsia="Calibri" w:hAnsi="Calibri" w:cs="Times New Roman"/>
          <w:lang w:eastAsia="en-US"/>
        </w:rPr>
        <w:tab/>
      </w:r>
      <w:r w:rsidR="009C3E0D" w:rsidRPr="00E8195A">
        <w:rPr>
          <w:rFonts w:ascii="Calibri" w:eastAsia="Calibri" w:hAnsi="Calibri" w:cs="Times New Roman"/>
          <w:lang w:eastAsia="en-US"/>
        </w:rPr>
        <w:t xml:space="preserve">We have an ethos of delivering value to tenants and </w:t>
      </w:r>
      <w:r w:rsidR="0027633B">
        <w:rPr>
          <w:rFonts w:ascii="Calibri" w:eastAsia="Calibri" w:hAnsi="Calibri" w:cs="Times New Roman"/>
          <w:lang w:eastAsia="en-US"/>
        </w:rPr>
        <w:t xml:space="preserve">an organisational culture of </w:t>
      </w:r>
      <w:r w:rsidR="009C3E0D" w:rsidRPr="00E8195A">
        <w:rPr>
          <w:rFonts w:ascii="Calibri" w:eastAsia="Calibri" w:hAnsi="Calibri" w:cs="Times New Roman"/>
          <w:lang w:eastAsia="en-US"/>
        </w:rPr>
        <w:t>consistently reduc</w:t>
      </w:r>
      <w:r w:rsidR="0027633B">
        <w:rPr>
          <w:rFonts w:ascii="Calibri" w:eastAsia="Calibri" w:hAnsi="Calibri" w:cs="Times New Roman"/>
          <w:lang w:eastAsia="en-US"/>
        </w:rPr>
        <w:t>ing</w:t>
      </w:r>
      <w:r w:rsidR="009C3E0D" w:rsidRPr="00E8195A">
        <w:rPr>
          <w:rFonts w:ascii="Calibri" w:eastAsia="Calibri" w:hAnsi="Calibri" w:cs="Times New Roman"/>
          <w:lang w:eastAsia="en-US"/>
        </w:rPr>
        <w:t xml:space="preserve"> costs where possible.  We </w:t>
      </w:r>
      <w:r w:rsidR="0027633B">
        <w:rPr>
          <w:rFonts w:ascii="Calibri" w:eastAsia="Calibri" w:hAnsi="Calibri" w:cs="Times New Roman"/>
          <w:lang w:eastAsia="en-US"/>
        </w:rPr>
        <w:t xml:space="preserve">will </w:t>
      </w:r>
      <w:r w:rsidR="009C3E0D" w:rsidRPr="00E8195A">
        <w:rPr>
          <w:rFonts w:ascii="Calibri" w:eastAsia="Calibri" w:hAnsi="Calibri" w:cs="Times New Roman"/>
          <w:lang w:eastAsia="en-US"/>
        </w:rPr>
        <w:t xml:space="preserve">continue to drive savings </w:t>
      </w:r>
      <w:r w:rsidR="0027633B">
        <w:rPr>
          <w:rFonts w:ascii="Calibri" w:eastAsia="Calibri" w:hAnsi="Calibri" w:cs="Times New Roman"/>
          <w:lang w:eastAsia="en-US"/>
        </w:rPr>
        <w:t xml:space="preserve">or limit the impact of cost increases </w:t>
      </w:r>
      <w:r w:rsidR="009C3E0D" w:rsidRPr="00E8195A">
        <w:rPr>
          <w:rFonts w:ascii="Calibri" w:eastAsia="Calibri" w:hAnsi="Calibri" w:cs="Times New Roman"/>
          <w:lang w:eastAsia="en-US"/>
        </w:rPr>
        <w:t xml:space="preserve">in our unit costs for maintenance while retaining quality and performance. We continue to post </w:t>
      </w:r>
      <w:r w:rsidR="0027633B">
        <w:rPr>
          <w:rFonts w:ascii="Calibri" w:eastAsia="Calibri" w:hAnsi="Calibri" w:cs="Times New Roman"/>
          <w:lang w:eastAsia="en-US"/>
        </w:rPr>
        <w:t xml:space="preserve">responsive </w:t>
      </w:r>
      <w:r w:rsidR="009C3E0D" w:rsidRPr="00E8195A">
        <w:rPr>
          <w:rFonts w:ascii="Calibri" w:eastAsia="Calibri" w:hAnsi="Calibri" w:cs="Times New Roman"/>
          <w:lang w:eastAsia="en-US"/>
        </w:rPr>
        <w:t>repairs and maintenance costs in line with, or lower than our peers and have a positive balance between responsive and planned maintenance.</w:t>
      </w:r>
    </w:p>
    <w:p w14:paraId="4065FBBD" w14:textId="5B973638" w:rsidR="009C3E0D" w:rsidRPr="00E8195A" w:rsidRDefault="005B72A0" w:rsidP="009C3E0D">
      <w:pPr>
        <w:ind w:left="360" w:hanging="360"/>
        <w:jc w:val="both"/>
        <w:rPr>
          <w:rFonts w:ascii="Calibri" w:eastAsia="Calibri" w:hAnsi="Calibri" w:cs="Times New Roman"/>
          <w:lang w:eastAsia="en-US"/>
        </w:rPr>
      </w:pPr>
      <w:r>
        <w:rPr>
          <w:rFonts w:ascii="Calibri" w:eastAsia="Calibri" w:hAnsi="Calibri" w:cs="Times New Roman"/>
          <w:lang w:eastAsia="en-US"/>
        </w:rPr>
        <w:t>9</w:t>
      </w:r>
      <w:r w:rsidR="009C3E0D">
        <w:rPr>
          <w:rFonts w:ascii="Calibri" w:eastAsia="Calibri" w:hAnsi="Calibri" w:cs="Times New Roman"/>
          <w:lang w:eastAsia="en-US"/>
        </w:rPr>
        <w:t>.2</w:t>
      </w:r>
      <w:r w:rsidR="009C3E0D">
        <w:rPr>
          <w:rFonts w:ascii="Calibri" w:eastAsia="Calibri" w:hAnsi="Calibri" w:cs="Times New Roman"/>
          <w:lang w:eastAsia="en-US"/>
        </w:rPr>
        <w:tab/>
      </w:r>
      <w:bookmarkStart w:id="0" w:name="_GoBack"/>
      <w:bookmarkEnd w:id="0"/>
      <w:r w:rsidR="009C3E0D" w:rsidRPr="00E8195A">
        <w:rPr>
          <w:rFonts w:ascii="Calibri" w:eastAsia="Calibri" w:hAnsi="Calibri" w:cs="Times New Roman"/>
          <w:lang w:eastAsia="en-US"/>
        </w:rPr>
        <w:t xml:space="preserve">While we continue to examine everything we do with a view to improving efficiency, we ultimately view our costs in running the Association within the strategic context of the Business Plan.  As a result, some of the benefits flowing from our investment may not be initially obvious but will bear fruit in future years.  </w:t>
      </w:r>
    </w:p>
    <w:p w14:paraId="7C134962" w14:textId="77777777" w:rsidR="00B245C8" w:rsidRDefault="00E8195A">
      <w:pPr>
        <w:rPr>
          <w:b/>
        </w:rPr>
      </w:pPr>
      <w:r>
        <w:rPr>
          <w:b/>
        </w:rPr>
        <w:br w:type="page"/>
      </w:r>
      <w:r w:rsidR="00B245C8">
        <w:rPr>
          <w:b/>
        </w:rPr>
        <w:lastRenderedPageBreak/>
        <w:t>Appendix 1 – Value for Money Policy</w:t>
      </w:r>
    </w:p>
    <w:p w14:paraId="1A1A0CC6" w14:textId="77777777" w:rsidR="00B245C8" w:rsidRPr="00B245C8" w:rsidRDefault="00B245C8" w:rsidP="00B245C8">
      <w:pPr>
        <w:rPr>
          <w:rFonts w:ascii="Calibri" w:eastAsia="Calibri" w:hAnsi="Calibri" w:cs="Times New Roman"/>
          <w:b/>
          <w:lang w:eastAsia="en-US"/>
        </w:rPr>
      </w:pPr>
      <w:r w:rsidRPr="00B245C8">
        <w:rPr>
          <w:rFonts w:ascii="Calibri" w:eastAsia="Calibri" w:hAnsi="Calibri" w:cs="Times New Roman"/>
          <w:b/>
          <w:lang w:eastAsia="en-US"/>
        </w:rPr>
        <w:t>Vectis Housing Association Limited - Value for Money Policy</w:t>
      </w:r>
    </w:p>
    <w:p w14:paraId="7468CDD6" w14:textId="77777777" w:rsidR="00B245C8" w:rsidRPr="00B245C8" w:rsidRDefault="00B245C8" w:rsidP="00B245C8">
      <w:pPr>
        <w:numPr>
          <w:ilvl w:val="0"/>
          <w:numId w:val="3"/>
        </w:numPr>
        <w:ind w:left="502"/>
        <w:contextualSpacing/>
        <w:rPr>
          <w:rFonts w:ascii="Calibri" w:eastAsia="Calibri" w:hAnsi="Calibri" w:cs="Arial"/>
          <w:b/>
          <w:sz w:val="24"/>
          <w:szCs w:val="24"/>
          <w:lang w:eastAsia="en-US"/>
        </w:rPr>
      </w:pPr>
      <w:r w:rsidRPr="00B245C8">
        <w:rPr>
          <w:rFonts w:ascii="Calibri" w:eastAsia="Calibri" w:hAnsi="Calibri" w:cs="Arial"/>
          <w:b/>
          <w:sz w:val="24"/>
          <w:szCs w:val="24"/>
          <w:lang w:eastAsia="en-US"/>
        </w:rPr>
        <w:t>Introduction</w:t>
      </w:r>
    </w:p>
    <w:p w14:paraId="73AD76A3" w14:textId="77777777" w:rsidR="00B245C8" w:rsidRPr="00B245C8" w:rsidRDefault="00B245C8" w:rsidP="00B245C8">
      <w:pPr>
        <w:ind w:left="720" w:hanging="720"/>
        <w:rPr>
          <w:rFonts w:ascii="Calibri" w:eastAsia="Calibri" w:hAnsi="Calibri" w:cs="Arial"/>
          <w:lang w:eastAsia="en-US"/>
        </w:rPr>
      </w:pPr>
      <w:r w:rsidRPr="00B245C8">
        <w:rPr>
          <w:rFonts w:ascii="Calibri" w:eastAsia="Calibri" w:hAnsi="Calibri" w:cs="Arial"/>
          <w:sz w:val="24"/>
          <w:szCs w:val="24"/>
          <w:lang w:eastAsia="en-US"/>
        </w:rPr>
        <w:t>1.1</w:t>
      </w:r>
      <w:r w:rsidRPr="00B245C8">
        <w:rPr>
          <w:rFonts w:ascii="Calibri" w:eastAsia="Calibri" w:hAnsi="Calibri" w:cs="Arial"/>
          <w:sz w:val="24"/>
          <w:szCs w:val="24"/>
          <w:lang w:eastAsia="en-US"/>
        </w:rPr>
        <w:tab/>
      </w:r>
      <w:r w:rsidRPr="00B245C8">
        <w:rPr>
          <w:rFonts w:ascii="Calibri" w:eastAsia="Calibri" w:hAnsi="Calibri" w:cs="Arial"/>
          <w:lang w:eastAsia="en-US"/>
        </w:rPr>
        <w:t>This Policy document updates and restates our commitment to and delivery of value for money as a central tenet of our strategic and operational activities.   It sets out the central role of a value-driven approach to achieving the best outcomes for Vectis and our tenants.</w:t>
      </w:r>
    </w:p>
    <w:p w14:paraId="60AD3AA2" w14:textId="77777777" w:rsidR="00B245C8" w:rsidRPr="00B245C8" w:rsidRDefault="00B245C8" w:rsidP="00B245C8">
      <w:pPr>
        <w:ind w:left="720" w:hanging="720"/>
        <w:jc w:val="both"/>
        <w:rPr>
          <w:rFonts w:ascii="Calibri" w:eastAsia="Calibri" w:hAnsi="Calibri" w:cs="Times New Roman"/>
          <w:lang w:eastAsia="en-US"/>
        </w:rPr>
      </w:pPr>
      <w:r w:rsidRPr="00B245C8">
        <w:rPr>
          <w:rFonts w:ascii="Calibri" w:eastAsia="Calibri" w:hAnsi="Calibri" w:cs="Times New Roman"/>
          <w:lang w:eastAsia="en-US"/>
        </w:rPr>
        <w:t>1.3</w:t>
      </w:r>
      <w:r w:rsidRPr="00B245C8">
        <w:rPr>
          <w:rFonts w:ascii="Calibri" w:eastAsia="Calibri" w:hAnsi="Calibri" w:cs="Times New Roman"/>
          <w:lang w:eastAsia="en-US"/>
        </w:rPr>
        <w:tab/>
        <w:t xml:space="preserve">Value for Money (VfM) is central to delivering the Vectis mission statement, Business Strategy, strategic and operational objectives, and values for our residents and service users.   One of our key strategic objectives is to: </w:t>
      </w:r>
      <w:r w:rsidRPr="00B245C8">
        <w:rPr>
          <w:rFonts w:ascii="Calibri" w:eastAsia="Calibri" w:hAnsi="Calibri" w:cs="Times New Roman"/>
          <w:i/>
          <w:lang w:eastAsia="en-US"/>
        </w:rPr>
        <w:t>work towards improving our overall service to tenants by continuing to engage with them as part of an ongoing structured implementation of value for money principles</w:t>
      </w:r>
      <w:r w:rsidRPr="00B245C8">
        <w:rPr>
          <w:rFonts w:ascii="Calibri" w:eastAsia="Calibri" w:hAnsi="Calibri" w:cs="Times New Roman"/>
          <w:lang w:eastAsia="en-US"/>
        </w:rPr>
        <w:t>.</w:t>
      </w:r>
    </w:p>
    <w:p w14:paraId="70AF3696" w14:textId="77777777" w:rsidR="00B245C8" w:rsidRPr="00B245C8" w:rsidRDefault="00B245C8" w:rsidP="00B245C8">
      <w:pPr>
        <w:ind w:left="720" w:hanging="720"/>
        <w:jc w:val="both"/>
        <w:rPr>
          <w:rFonts w:ascii="Calibri" w:eastAsia="Calibri" w:hAnsi="Calibri" w:cs="Times New Roman"/>
          <w:lang w:eastAsia="en-US"/>
        </w:rPr>
      </w:pPr>
      <w:r w:rsidRPr="00B245C8">
        <w:rPr>
          <w:rFonts w:ascii="Calibri" w:eastAsia="Calibri" w:hAnsi="Calibri" w:cs="Times New Roman"/>
          <w:lang w:eastAsia="en-US"/>
        </w:rPr>
        <w:t>1.4</w:t>
      </w:r>
      <w:r w:rsidRPr="00B245C8">
        <w:rPr>
          <w:rFonts w:ascii="Calibri" w:eastAsia="Calibri" w:hAnsi="Calibri" w:cs="Times New Roman"/>
          <w:lang w:eastAsia="en-US"/>
        </w:rPr>
        <w:tab/>
        <w:t xml:space="preserve">In the main, we have viewed our VfM targets as the basis for funding the range of service, property and infrastructure investments that we believe sets us in a position to sustainably deliver the growth and quality to which we aspire.  We have also adjusted our programme of Planned Maintenance to reflect the position reflected by our Stock Condition Survey.  We have therefore not primarily looked to initially reduce overall spend, so much as maximise productivity.  In essence, we are focused on delivering more outcome within existing budgets.  </w:t>
      </w:r>
    </w:p>
    <w:p w14:paraId="0CCDFB40" w14:textId="77777777" w:rsidR="00B245C8" w:rsidRPr="00B245C8" w:rsidRDefault="00B245C8" w:rsidP="00B245C8">
      <w:pPr>
        <w:ind w:left="720" w:hanging="720"/>
        <w:jc w:val="both"/>
        <w:rPr>
          <w:rFonts w:ascii="Calibri" w:eastAsia="Calibri" w:hAnsi="Calibri" w:cs="Times New Roman"/>
          <w:lang w:eastAsia="en-US"/>
        </w:rPr>
      </w:pPr>
      <w:r w:rsidRPr="00B245C8">
        <w:rPr>
          <w:rFonts w:ascii="Calibri" w:eastAsia="Calibri" w:hAnsi="Calibri" w:cs="Times New Roman"/>
          <w:lang w:eastAsia="en-US"/>
        </w:rPr>
        <w:t>1.5</w:t>
      </w:r>
      <w:r w:rsidRPr="00B245C8">
        <w:rPr>
          <w:rFonts w:ascii="Calibri" w:eastAsia="Calibri" w:hAnsi="Calibri" w:cs="Times New Roman"/>
          <w:lang w:eastAsia="en-US"/>
        </w:rPr>
        <w:tab/>
        <w:t>Satisfaction surveys indicate that our tenants overwhelmingly believe that we offer excellent value for their rent.  However, we recognise that we need to improve satisfaction with value derived from service charges.  We have worked hard over the last couple of years to provide better information on service charge calculation and improve eligible services.</w:t>
      </w:r>
    </w:p>
    <w:p w14:paraId="552C894F" w14:textId="77777777" w:rsidR="00B245C8" w:rsidRPr="00B245C8" w:rsidRDefault="00B245C8" w:rsidP="00B245C8">
      <w:pPr>
        <w:spacing w:after="0" w:line="240" w:lineRule="auto"/>
        <w:ind w:left="720" w:hanging="720"/>
        <w:jc w:val="both"/>
        <w:rPr>
          <w:rFonts w:ascii="Calibri" w:eastAsia="Calibri" w:hAnsi="Calibri" w:cs="Times New Roman"/>
          <w:lang w:eastAsia="en-US"/>
        </w:rPr>
      </w:pPr>
      <w:r w:rsidRPr="00B245C8">
        <w:rPr>
          <w:rFonts w:ascii="Calibri" w:eastAsia="Calibri" w:hAnsi="Calibri" w:cs="Times New Roman"/>
          <w:iCs/>
          <w:lang w:eastAsia="en-US"/>
        </w:rPr>
        <w:t>1.6</w:t>
      </w:r>
      <w:r w:rsidRPr="00B245C8">
        <w:rPr>
          <w:rFonts w:ascii="Calibri" w:eastAsia="Calibri" w:hAnsi="Calibri" w:cs="Times New Roman"/>
          <w:iCs/>
          <w:lang w:eastAsia="en-US"/>
        </w:rPr>
        <w:tab/>
        <w:t xml:space="preserve">We remain committed to fully delivering the </w:t>
      </w:r>
      <w:r w:rsidRPr="00B245C8">
        <w:rPr>
          <w:rFonts w:ascii="Calibri" w:eastAsia="Calibri" w:hAnsi="Calibri" w:cs="Times New Roman"/>
          <w:lang w:eastAsia="en-US"/>
        </w:rPr>
        <w:t>Value for Money standard contained within t</w:t>
      </w:r>
      <w:r w:rsidRPr="00B245C8">
        <w:rPr>
          <w:rFonts w:ascii="Calibri" w:eastAsia="Calibri" w:hAnsi="Calibri" w:cs="Times New Roman"/>
          <w:iCs/>
          <w:lang w:eastAsia="en-US"/>
        </w:rPr>
        <w:t xml:space="preserve">he Regulatory Framework for housing associations </w:t>
      </w:r>
      <w:r w:rsidRPr="00B245C8">
        <w:rPr>
          <w:rFonts w:ascii="Calibri" w:eastAsia="Calibri" w:hAnsi="Calibri" w:cs="Times New Roman"/>
          <w:lang w:eastAsia="en-US"/>
        </w:rPr>
        <w:t xml:space="preserve">requiring registered landlords to; manage resources </w:t>
      </w:r>
      <w:r w:rsidRPr="00B245C8">
        <w:rPr>
          <w:rFonts w:ascii="Calibri" w:eastAsia="Calibri" w:hAnsi="Calibri" w:cs="Times New Roman"/>
          <w:b/>
          <w:bCs/>
          <w:lang w:eastAsia="en-US"/>
        </w:rPr>
        <w:t>economically, efficiently and effectivel</w:t>
      </w:r>
      <w:r w:rsidRPr="00B245C8">
        <w:rPr>
          <w:rFonts w:ascii="Calibri" w:eastAsia="Calibri" w:hAnsi="Calibri" w:cs="Times New Roman"/>
          <w:lang w:eastAsia="en-US"/>
        </w:rPr>
        <w:t xml:space="preserve">y in our provision of housing and services, for Boards to maintain a robust assessment of VfM performance and to articulate how they will deliver VfM.  </w:t>
      </w:r>
    </w:p>
    <w:p w14:paraId="289C8B58" w14:textId="77777777" w:rsidR="00B245C8" w:rsidRPr="00B245C8" w:rsidRDefault="00B245C8" w:rsidP="00B245C8">
      <w:pPr>
        <w:spacing w:after="0"/>
        <w:jc w:val="both"/>
        <w:rPr>
          <w:rFonts w:ascii="Calibri" w:eastAsia="Calibri" w:hAnsi="Calibri" w:cs="Times New Roman"/>
          <w:b/>
          <w:lang w:eastAsia="en-US"/>
        </w:rPr>
      </w:pPr>
    </w:p>
    <w:p w14:paraId="189A7B2C" w14:textId="77777777" w:rsidR="00B245C8" w:rsidRPr="00B245C8" w:rsidRDefault="00B245C8" w:rsidP="00B245C8">
      <w:pPr>
        <w:numPr>
          <w:ilvl w:val="0"/>
          <w:numId w:val="3"/>
        </w:numPr>
        <w:spacing w:after="120"/>
        <w:ind w:left="502"/>
        <w:contextualSpacing/>
        <w:jc w:val="both"/>
        <w:rPr>
          <w:rFonts w:ascii="Calibri" w:eastAsia="Calibri" w:hAnsi="Calibri" w:cs="Times New Roman"/>
          <w:b/>
          <w:lang w:eastAsia="en-US"/>
        </w:rPr>
      </w:pPr>
      <w:r w:rsidRPr="00B245C8">
        <w:rPr>
          <w:rFonts w:ascii="Calibri" w:eastAsia="Calibri" w:hAnsi="Calibri" w:cs="Times New Roman"/>
          <w:b/>
          <w:lang w:eastAsia="en-US"/>
        </w:rPr>
        <w:t>Vectis and Value for Money</w:t>
      </w:r>
    </w:p>
    <w:p w14:paraId="79741668" w14:textId="77777777" w:rsidR="00B245C8" w:rsidRPr="00B245C8" w:rsidRDefault="00B245C8" w:rsidP="00B245C8">
      <w:pPr>
        <w:ind w:left="720" w:hanging="720"/>
        <w:jc w:val="both"/>
        <w:rPr>
          <w:rFonts w:ascii="Calibri" w:eastAsia="Calibri" w:hAnsi="Calibri" w:cs="Times New Roman"/>
          <w:lang w:eastAsia="en-US"/>
        </w:rPr>
      </w:pPr>
      <w:r w:rsidRPr="00B245C8">
        <w:rPr>
          <w:rFonts w:ascii="Calibri" w:eastAsia="Calibri" w:hAnsi="Calibri" w:cs="Times New Roman"/>
          <w:lang w:eastAsia="en-US"/>
        </w:rPr>
        <w:t>2.1</w:t>
      </w:r>
      <w:r w:rsidRPr="00B245C8">
        <w:rPr>
          <w:rFonts w:ascii="Calibri" w:eastAsia="Calibri" w:hAnsi="Calibri" w:cs="Times New Roman"/>
          <w:lang w:eastAsia="en-US"/>
        </w:rPr>
        <w:tab/>
        <w:t>As a small housing association with limited resources we are extremely conscious of the need to manage our activities in the most cost effective manner.   We remain ambitious to provide residents with excellent quality services and understand that to achieve this we must ensure that we optimise the productivity from our finances, staff and contractors.</w:t>
      </w:r>
    </w:p>
    <w:p w14:paraId="758C824C" w14:textId="65E29477" w:rsidR="00B245C8" w:rsidRPr="00B245C8" w:rsidRDefault="00B245C8" w:rsidP="00B245C8">
      <w:pPr>
        <w:ind w:left="720" w:hanging="720"/>
        <w:jc w:val="both"/>
        <w:rPr>
          <w:rFonts w:ascii="Calibri" w:eastAsia="Calibri" w:hAnsi="Calibri" w:cs="Times New Roman"/>
          <w:lang w:eastAsia="en-US"/>
        </w:rPr>
      </w:pPr>
      <w:r w:rsidRPr="00B245C8">
        <w:rPr>
          <w:rFonts w:ascii="Calibri" w:eastAsia="Calibri" w:hAnsi="Calibri" w:cs="Times New Roman"/>
          <w:lang w:eastAsia="en-US"/>
        </w:rPr>
        <w:t>2.2</w:t>
      </w:r>
      <w:r w:rsidRPr="00B245C8">
        <w:rPr>
          <w:rFonts w:ascii="Calibri" w:eastAsia="Calibri" w:hAnsi="Calibri" w:cs="Times New Roman"/>
          <w:lang w:eastAsia="en-US"/>
        </w:rPr>
        <w:tab/>
        <w:t xml:space="preserve">This continues to be a critical business requirement as the result of the Government requirement for housing associations to reduce rents by 1% per annum over the four years from 2016/7.  We are now in the </w:t>
      </w:r>
      <w:r w:rsidR="005E2E91">
        <w:rPr>
          <w:rFonts w:ascii="Calibri" w:eastAsia="Calibri" w:hAnsi="Calibri" w:cs="Times New Roman"/>
          <w:lang w:eastAsia="en-US"/>
        </w:rPr>
        <w:t>third</w:t>
      </w:r>
      <w:r w:rsidRPr="00B245C8">
        <w:rPr>
          <w:rFonts w:ascii="Calibri" w:eastAsia="Calibri" w:hAnsi="Calibri" w:cs="Times New Roman"/>
          <w:lang w:eastAsia="en-US"/>
        </w:rPr>
        <w:t xml:space="preserve"> year of that regime.  We would much prefer to reduce costs where possible than cut staff or services.</w:t>
      </w:r>
    </w:p>
    <w:p w14:paraId="2A6F9AD1" w14:textId="77777777" w:rsidR="00B245C8" w:rsidRPr="00B245C8" w:rsidRDefault="00B245C8" w:rsidP="00B245C8">
      <w:pPr>
        <w:ind w:left="720" w:hanging="720"/>
        <w:jc w:val="both"/>
        <w:rPr>
          <w:rFonts w:ascii="Calibri" w:eastAsia="Calibri" w:hAnsi="Calibri" w:cs="Times New Roman"/>
          <w:lang w:eastAsia="en-US"/>
        </w:rPr>
      </w:pPr>
      <w:r w:rsidRPr="00B245C8">
        <w:rPr>
          <w:rFonts w:ascii="Calibri" w:eastAsia="Calibri" w:hAnsi="Calibri" w:cs="Times New Roman"/>
          <w:lang w:eastAsia="en-US"/>
        </w:rPr>
        <w:t>2.3</w:t>
      </w:r>
      <w:r w:rsidRPr="00B245C8">
        <w:rPr>
          <w:rFonts w:ascii="Calibri" w:eastAsia="Calibri" w:hAnsi="Calibri" w:cs="Times New Roman"/>
          <w:lang w:eastAsia="en-US"/>
        </w:rPr>
        <w:tab/>
        <w:t>In our view, achieving value for money is about getting the right balance between the costs of delivering our services (economy) together with how efficient and effective we are as an organisation.</w:t>
      </w:r>
    </w:p>
    <w:p w14:paraId="16930B7C" w14:textId="77777777" w:rsidR="00B245C8" w:rsidRPr="00B245C8" w:rsidRDefault="00B245C8" w:rsidP="00B245C8">
      <w:pPr>
        <w:ind w:left="720" w:hanging="720"/>
        <w:jc w:val="both"/>
        <w:rPr>
          <w:rFonts w:ascii="Calibri" w:eastAsia="Calibri" w:hAnsi="Calibri" w:cs="Times New Roman"/>
          <w:lang w:eastAsia="en-US"/>
        </w:rPr>
      </w:pPr>
      <w:r w:rsidRPr="00B245C8">
        <w:rPr>
          <w:rFonts w:ascii="Calibri" w:eastAsia="Calibri" w:hAnsi="Calibri" w:cs="Times New Roman"/>
          <w:lang w:eastAsia="en-US"/>
        </w:rPr>
        <w:lastRenderedPageBreak/>
        <w:t>2.4</w:t>
      </w:r>
      <w:r w:rsidRPr="00B245C8">
        <w:rPr>
          <w:rFonts w:ascii="Calibri" w:eastAsia="Calibri" w:hAnsi="Calibri" w:cs="Times New Roman"/>
          <w:lang w:eastAsia="en-US"/>
        </w:rPr>
        <w:tab/>
        <w:t xml:space="preserve">However, it is not just about saving money. We consistently aim to get the most out of the money we have to spend.  When we talk about our VfM achievements we refer not just to the cost savings that have been secured.  We are also looking at the qualitative improvements, for example increasing/improving services with no increase in the cost.  This may mean providing service in a different way, either by working in partnerships with other organisations or by taking some or all of a service in-house. </w:t>
      </w:r>
    </w:p>
    <w:p w14:paraId="222C596F" w14:textId="77777777" w:rsidR="00B245C8" w:rsidRPr="00B245C8" w:rsidRDefault="00B245C8" w:rsidP="00B245C8">
      <w:pPr>
        <w:contextualSpacing/>
        <w:jc w:val="both"/>
        <w:rPr>
          <w:rFonts w:ascii="Calibri" w:eastAsia="Calibri" w:hAnsi="Calibri" w:cs="Times New Roman"/>
          <w:i/>
          <w:lang w:eastAsia="en-US"/>
        </w:rPr>
      </w:pPr>
      <w:r w:rsidRPr="00B245C8">
        <w:rPr>
          <w:rFonts w:ascii="Calibri" w:eastAsia="Calibri" w:hAnsi="Calibri" w:cs="Times New Roman"/>
          <w:b/>
          <w:lang w:eastAsia="en-US"/>
        </w:rPr>
        <w:t>3.</w:t>
      </w:r>
      <w:r w:rsidRPr="00B245C8">
        <w:rPr>
          <w:rFonts w:ascii="Calibri" w:eastAsia="Calibri" w:hAnsi="Calibri" w:cs="Times New Roman"/>
          <w:b/>
          <w:lang w:eastAsia="en-US"/>
        </w:rPr>
        <w:tab/>
        <w:t xml:space="preserve">VHA </w:t>
      </w:r>
      <w:r w:rsidRPr="00B245C8">
        <w:rPr>
          <w:rFonts w:ascii="Calibri" w:eastAsia="Calibri" w:hAnsi="Calibri" w:cs="Times New Roman"/>
          <w:b/>
          <w:bCs/>
          <w:i/>
          <w:lang w:eastAsia="en-US"/>
        </w:rPr>
        <w:t xml:space="preserve">Value for Money objectives: </w:t>
      </w:r>
    </w:p>
    <w:p w14:paraId="1A6FB272" w14:textId="77777777" w:rsidR="00B245C8" w:rsidRPr="00B245C8" w:rsidRDefault="00B245C8" w:rsidP="00B245C8">
      <w:pPr>
        <w:ind w:left="720" w:hanging="720"/>
        <w:jc w:val="both"/>
        <w:rPr>
          <w:rFonts w:ascii="Calibri" w:eastAsia="Calibri" w:hAnsi="Calibri" w:cs="Times New Roman"/>
          <w:lang w:eastAsia="en-US"/>
        </w:rPr>
      </w:pPr>
      <w:r w:rsidRPr="00B245C8">
        <w:rPr>
          <w:rFonts w:ascii="Calibri" w:eastAsia="Calibri" w:hAnsi="Calibri" w:cs="Times New Roman"/>
          <w:lang w:eastAsia="en-US"/>
        </w:rPr>
        <w:t xml:space="preserve">3.1 </w:t>
      </w:r>
      <w:r w:rsidRPr="00B245C8">
        <w:rPr>
          <w:rFonts w:ascii="Calibri" w:eastAsia="Calibri" w:hAnsi="Calibri" w:cs="Times New Roman"/>
          <w:lang w:eastAsia="en-US"/>
        </w:rPr>
        <w:tab/>
        <w:t>To provide services that our customers want, at an appropriate cost, to a high standard, with high customer satisfaction.  This includes:</w:t>
      </w:r>
    </w:p>
    <w:p w14:paraId="4A1D7EF4" w14:textId="77777777" w:rsidR="00B245C8" w:rsidRPr="00B245C8" w:rsidRDefault="00B245C8" w:rsidP="00B245C8">
      <w:pPr>
        <w:ind w:left="720"/>
        <w:jc w:val="both"/>
        <w:rPr>
          <w:rFonts w:ascii="Calibri" w:eastAsia="Calibri" w:hAnsi="Calibri" w:cs="Times New Roman"/>
          <w:lang w:eastAsia="en-US"/>
        </w:rPr>
      </w:pPr>
      <w:r w:rsidRPr="00B245C8">
        <w:rPr>
          <w:rFonts w:ascii="Calibri" w:eastAsia="Calibri" w:hAnsi="Calibri" w:cs="Times New Roman"/>
          <w:lang w:eastAsia="en-US"/>
        </w:rPr>
        <w:t>1. A housing management service which aims to put the right people in the right places;</w:t>
      </w:r>
    </w:p>
    <w:p w14:paraId="689C31AD" w14:textId="77777777" w:rsidR="00B245C8" w:rsidRPr="00B245C8" w:rsidRDefault="00B245C8" w:rsidP="00B245C8">
      <w:pPr>
        <w:ind w:left="720"/>
        <w:jc w:val="both"/>
        <w:rPr>
          <w:rFonts w:ascii="Calibri" w:eastAsia="Calibri" w:hAnsi="Calibri" w:cs="Times New Roman"/>
          <w:lang w:eastAsia="en-US"/>
        </w:rPr>
      </w:pPr>
      <w:r w:rsidRPr="00B245C8">
        <w:rPr>
          <w:rFonts w:ascii="Calibri" w:eastAsia="Calibri" w:hAnsi="Calibri" w:cs="Times New Roman"/>
          <w:lang w:eastAsia="en-US"/>
        </w:rPr>
        <w:t>2. A tenancy management service which meets the varying needs of the individual households served by the Association;</w:t>
      </w:r>
    </w:p>
    <w:p w14:paraId="4B2AAE49" w14:textId="77777777" w:rsidR="00B245C8" w:rsidRPr="00B245C8" w:rsidRDefault="00B245C8" w:rsidP="00B245C8">
      <w:pPr>
        <w:ind w:left="720"/>
        <w:jc w:val="both"/>
        <w:rPr>
          <w:rFonts w:ascii="Calibri" w:eastAsia="Calibri" w:hAnsi="Calibri" w:cs="Times New Roman"/>
          <w:lang w:eastAsia="en-US"/>
        </w:rPr>
      </w:pPr>
      <w:r w:rsidRPr="00B245C8">
        <w:rPr>
          <w:rFonts w:ascii="Calibri" w:eastAsia="Calibri" w:hAnsi="Calibri" w:cs="Times New Roman"/>
          <w:lang w:eastAsia="en-US"/>
        </w:rPr>
        <w:t>3. A responsive maintenance service which aims to effect repairs promptly, effectively, and efficiently;</w:t>
      </w:r>
    </w:p>
    <w:p w14:paraId="3F6D0AB3" w14:textId="77777777" w:rsidR="00B245C8" w:rsidRPr="00B245C8" w:rsidRDefault="00B245C8" w:rsidP="00B245C8">
      <w:pPr>
        <w:ind w:left="720"/>
        <w:jc w:val="both"/>
        <w:rPr>
          <w:rFonts w:ascii="Calibri" w:eastAsia="Calibri" w:hAnsi="Calibri" w:cs="Times New Roman"/>
          <w:lang w:eastAsia="en-US"/>
        </w:rPr>
      </w:pPr>
      <w:r w:rsidRPr="00B245C8">
        <w:rPr>
          <w:rFonts w:ascii="Calibri" w:eastAsia="Calibri" w:hAnsi="Calibri" w:cs="Times New Roman"/>
          <w:lang w:eastAsia="en-US"/>
        </w:rPr>
        <w:t>4. An asset management service which procures quality new homes at an affordable price and sustains them for the long term in the most effective and efficient manner;</w:t>
      </w:r>
    </w:p>
    <w:p w14:paraId="5540493F" w14:textId="77777777" w:rsidR="00B245C8" w:rsidRPr="00B245C8" w:rsidRDefault="00B245C8" w:rsidP="00B245C8">
      <w:pPr>
        <w:ind w:left="720"/>
        <w:jc w:val="both"/>
        <w:rPr>
          <w:rFonts w:ascii="Calibri" w:eastAsia="Calibri" w:hAnsi="Calibri" w:cs="Times New Roman"/>
          <w:lang w:eastAsia="en-US"/>
        </w:rPr>
      </w:pPr>
      <w:r w:rsidRPr="00B245C8">
        <w:rPr>
          <w:rFonts w:ascii="Calibri" w:eastAsia="Calibri" w:hAnsi="Calibri" w:cs="Times New Roman"/>
          <w:lang w:eastAsia="en-US"/>
        </w:rPr>
        <w:t>5.  A tenant engagement strategy which offers and delivers opportunities for tenants to influence the direction of the Association’s work and to become involved in the scrutiny of that work;</w:t>
      </w:r>
    </w:p>
    <w:p w14:paraId="1E46D606"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Embedding a value for money culture and process that is inclusive and involves Board Members, Customers, the Executive, Senior Management, Staff and other relevant stakeholders/partners</w:t>
      </w:r>
    </w:p>
    <w:p w14:paraId="1E8D5962" w14:textId="77777777" w:rsidR="00B245C8" w:rsidRPr="00B245C8" w:rsidRDefault="00B245C8" w:rsidP="00B245C8">
      <w:pPr>
        <w:ind w:left="720"/>
        <w:contextualSpacing/>
        <w:jc w:val="both"/>
        <w:rPr>
          <w:rFonts w:ascii="Calibri" w:eastAsia="Calibri" w:hAnsi="Calibri" w:cs="Times New Roman"/>
          <w:lang w:eastAsia="en-US"/>
        </w:rPr>
      </w:pPr>
    </w:p>
    <w:p w14:paraId="2FAAB6BB" w14:textId="77777777" w:rsidR="00B245C8" w:rsidRPr="00B245C8" w:rsidRDefault="00B245C8" w:rsidP="00B245C8">
      <w:pPr>
        <w:numPr>
          <w:ilvl w:val="1"/>
          <w:numId w:val="10"/>
        </w:numPr>
        <w:spacing w:after="0"/>
        <w:contextualSpacing/>
        <w:jc w:val="both"/>
        <w:rPr>
          <w:rFonts w:ascii="Calibri" w:eastAsia="Calibri" w:hAnsi="Calibri" w:cs="Times New Roman"/>
          <w:lang w:eastAsia="en-US"/>
        </w:rPr>
      </w:pPr>
      <w:r w:rsidRPr="00B245C8">
        <w:rPr>
          <w:rFonts w:ascii="Calibri" w:eastAsia="Calibri" w:hAnsi="Calibri" w:cs="Times New Roman"/>
          <w:lang w:eastAsia="en-US"/>
        </w:rPr>
        <w:t>Maintaining a rent policy which keeps rents below those in the private sector, whilst properly resourcing our activities</w:t>
      </w:r>
    </w:p>
    <w:p w14:paraId="4330EB44" w14:textId="77777777" w:rsidR="00B245C8" w:rsidRPr="00B245C8" w:rsidRDefault="00B245C8" w:rsidP="00B245C8">
      <w:pPr>
        <w:spacing w:after="0"/>
        <w:jc w:val="both"/>
        <w:rPr>
          <w:rFonts w:ascii="Calibri" w:eastAsia="Calibri" w:hAnsi="Calibri" w:cs="Times New Roman"/>
          <w:lang w:eastAsia="en-US"/>
        </w:rPr>
      </w:pPr>
    </w:p>
    <w:p w14:paraId="46BE668C"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 xml:space="preserve">Maintaining high levels of performance in the following key areas: </w:t>
      </w:r>
    </w:p>
    <w:p w14:paraId="1170D058" w14:textId="77777777" w:rsidR="00B245C8" w:rsidRPr="00B245C8" w:rsidRDefault="00B245C8" w:rsidP="00B245C8">
      <w:pPr>
        <w:numPr>
          <w:ilvl w:val="0"/>
          <w:numId w:val="7"/>
        </w:numPr>
        <w:jc w:val="both"/>
        <w:rPr>
          <w:rFonts w:ascii="Calibri" w:eastAsia="Calibri" w:hAnsi="Calibri" w:cs="Times New Roman"/>
          <w:lang w:eastAsia="en-US"/>
        </w:rPr>
      </w:pPr>
      <w:r w:rsidRPr="00B245C8">
        <w:rPr>
          <w:rFonts w:ascii="Calibri" w:eastAsia="Calibri" w:hAnsi="Calibri" w:cs="Times New Roman"/>
          <w:lang w:eastAsia="en-US"/>
        </w:rPr>
        <w:t>High levels of customer satisfaction;</w:t>
      </w:r>
    </w:p>
    <w:p w14:paraId="2FF57E63" w14:textId="77777777" w:rsidR="00B245C8" w:rsidRPr="00B245C8" w:rsidRDefault="00B245C8" w:rsidP="00B245C8">
      <w:pPr>
        <w:numPr>
          <w:ilvl w:val="0"/>
          <w:numId w:val="7"/>
        </w:numPr>
        <w:jc w:val="both"/>
        <w:rPr>
          <w:rFonts w:ascii="Calibri" w:eastAsia="Calibri" w:hAnsi="Calibri" w:cs="Times New Roman"/>
          <w:lang w:eastAsia="en-US"/>
        </w:rPr>
      </w:pPr>
      <w:r w:rsidRPr="00B245C8">
        <w:rPr>
          <w:rFonts w:ascii="Calibri" w:eastAsia="Calibri" w:hAnsi="Calibri" w:cs="Times New Roman"/>
          <w:lang w:eastAsia="en-US"/>
        </w:rPr>
        <w:t>Low levels of formal customer complaints;</w:t>
      </w:r>
    </w:p>
    <w:p w14:paraId="77FE5B34" w14:textId="77777777" w:rsidR="00B245C8" w:rsidRPr="00B245C8" w:rsidRDefault="00B245C8" w:rsidP="00B245C8">
      <w:pPr>
        <w:numPr>
          <w:ilvl w:val="0"/>
          <w:numId w:val="7"/>
        </w:numPr>
        <w:jc w:val="both"/>
        <w:rPr>
          <w:rFonts w:ascii="Calibri" w:eastAsia="Calibri" w:hAnsi="Calibri" w:cs="Times New Roman"/>
          <w:lang w:eastAsia="en-US"/>
        </w:rPr>
      </w:pPr>
      <w:r w:rsidRPr="00B245C8">
        <w:rPr>
          <w:rFonts w:ascii="Calibri" w:eastAsia="Calibri" w:hAnsi="Calibri" w:cs="Times New Roman"/>
          <w:lang w:eastAsia="en-US"/>
        </w:rPr>
        <w:t>Actual cost savings year on year;</w:t>
      </w:r>
    </w:p>
    <w:p w14:paraId="73FDBF6A" w14:textId="77777777" w:rsidR="00B245C8" w:rsidRPr="00B245C8" w:rsidRDefault="00B245C8" w:rsidP="00B245C8">
      <w:pPr>
        <w:numPr>
          <w:ilvl w:val="0"/>
          <w:numId w:val="7"/>
        </w:numPr>
        <w:jc w:val="both"/>
        <w:rPr>
          <w:rFonts w:ascii="Calibri" w:eastAsia="Calibri" w:hAnsi="Calibri" w:cs="Times New Roman"/>
          <w:lang w:eastAsia="en-US"/>
        </w:rPr>
      </w:pPr>
      <w:r w:rsidRPr="00B245C8">
        <w:rPr>
          <w:rFonts w:ascii="Calibri" w:eastAsia="Calibri" w:hAnsi="Calibri" w:cs="Times New Roman"/>
          <w:lang w:eastAsia="en-US"/>
        </w:rPr>
        <w:t>Challenging but achievable strategic and annual budgets, which are monitored regularly;</w:t>
      </w:r>
    </w:p>
    <w:p w14:paraId="68A54A81" w14:textId="77777777" w:rsidR="00B245C8" w:rsidRPr="00B245C8" w:rsidRDefault="00B245C8" w:rsidP="00B245C8">
      <w:pPr>
        <w:numPr>
          <w:ilvl w:val="0"/>
          <w:numId w:val="7"/>
        </w:numPr>
        <w:jc w:val="both"/>
        <w:rPr>
          <w:rFonts w:ascii="Calibri" w:eastAsia="Calibri" w:hAnsi="Calibri" w:cs="Times New Roman"/>
          <w:lang w:eastAsia="en-US"/>
        </w:rPr>
      </w:pPr>
      <w:r w:rsidRPr="00B245C8">
        <w:rPr>
          <w:rFonts w:ascii="Calibri" w:eastAsia="Calibri" w:hAnsi="Calibri" w:cs="Times New Roman"/>
          <w:lang w:eastAsia="en-US"/>
        </w:rPr>
        <w:t>Performance benchmarking against other associations of similar size, nature, and ethos, where such comparison is practicable and meaningful.</w:t>
      </w:r>
    </w:p>
    <w:p w14:paraId="28282097" w14:textId="77777777" w:rsidR="00B245C8" w:rsidRPr="00B245C8" w:rsidRDefault="00B245C8" w:rsidP="00B245C8">
      <w:pPr>
        <w:ind w:left="360" w:hanging="360"/>
        <w:jc w:val="both"/>
        <w:rPr>
          <w:rFonts w:ascii="Calibri" w:eastAsia="Calibri" w:hAnsi="Calibri" w:cs="Times New Roman"/>
          <w:lang w:eastAsia="en-US"/>
        </w:rPr>
      </w:pPr>
      <w:r w:rsidRPr="00B245C8">
        <w:rPr>
          <w:rFonts w:ascii="Calibri" w:eastAsia="Calibri" w:hAnsi="Calibri" w:cs="Times New Roman"/>
          <w:lang w:eastAsia="en-US"/>
        </w:rPr>
        <w:t>3.5</w:t>
      </w:r>
      <w:r w:rsidRPr="00B245C8">
        <w:rPr>
          <w:rFonts w:ascii="Calibri" w:eastAsia="Calibri" w:hAnsi="Calibri" w:cs="Times New Roman"/>
          <w:lang w:eastAsia="en-US"/>
        </w:rPr>
        <w:tab/>
        <w:t>Avoiding where possible the costs of failure, by learning from our mistakes, fully engaging with customers and partners and looking to the future.</w:t>
      </w:r>
    </w:p>
    <w:p w14:paraId="2676FFA6" w14:textId="77777777" w:rsidR="00B245C8" w:rsidRPr="00B245C8" w:rsidRDefault="00B245C8" w:rsidP="00B245C8">
      <w:pPr>
        <w:ind w:left="360"/>
        <w:contextualSpacing/>
        <w:rPr>
          <w:rFonts w:ascii="Calibri" w:eastAsia="Calibri" w:hAnsi="Calibri" w:cs="Times New Roman"/>
          <w:b/>
          <w:lang w:eastAsia="en-US"/>
        </w:rPr>
      </w:pPr>
    </w:p>
    <w:p w14:paraId="3E3A3F06" w14:textId="77777777" w:rsidR="00B245C8" w:rsidRPr="00B245C8" w:rsidRDefault="00B245C8" w:rsidP="00B245C8">
      <w:pPr>
        <w:ind w:left="360"/>
        <w:contextualSpacing/>
        <w:rPr>
          <w:rFonts w:ascii="Calibri" w:eastAsia="Calibri" w:hAnsi="Calibri" w:cs="Times New Roman"/>
          <w:b/>
          <w:lang w:eastAsia="en-US"/>
        </w:rPr>
      </w:pPr>
    </w:p>
    <w:p w14:paraId="5B909A1A" w14:textId="77777777" w:rsidR="00B245C8" w:rsidRPr="00B245C8" w:rsidRDefault="00B245C8" w:rsidP="00B245C8">
      <w:pPr>
        <w:numPr>
          <w:ilvl w:val="0"/>
          <w:numId w:val="10"/>
        </w:numPr>
        <w:contextualSpacing/>
        <w:jc w:val="both"/>
        <w:rPr>
          <w:rFonts w:ascii="Calibri" w:eastAsia="Calibri" w:hAnsi="Calibri" w:cs="Times New Roman"/>
          <w:b/>
          <w:lang w:eastAsia="en-US"/>
        </w:rPr>
      </w:pPr>
      <w:r w:rsidRPr="00B245C8">
        <w:rPr>
          <w:rFonts w:ascii="Calibri" w:eastAsia="Calibri" w:hAnsi="Calibri" w:cs="Times New Roman"/>
          <w:b/>
          <w:lang w:eastAsia="en-US"/>
        </w:rPr>
        <w:lastRenderedPageBreak/>
        <w:t>Our approach to Vfm Assessment</w:t>
      </w:r>
    </w:p>
    <w:p w14:paraId="5574B7E1"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We review our success in delivering our value for money programme through the following methods:</w:t>
      </w:r>
    </w:p>
    <w:p w14:paraId="79BF03CF"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Regular review of budgets and commissioning</w:t>
      </w:r>
    </w:p>
    <w:p w14:paraId="30020A92" w14:textId="77777777" w:rsidR="00B245C8" w:rsidRPr="00B245C8" w:rsidRDefault="00B245C8" w:rsidP="00B245C8">
      <w:pPr>
        <w:ind w:left="720"/>
        <w:contextualSpacing/>
        <w:jc w:val="both"/>
        <w:rPr>
          <w:rFonts w:ascii="Calibri" w:eastAsia="Calibri" w:hAnsi="Calibri" w:cs="Times New Roman"/>
          <w:lang w:eastAsia="en-US"/>
        </w:rPr>
      </w:pPr>
    </w:p>
    <w:p w14:paraId="595C4BF1" w14:textId="5BB779FC"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SHAPE Benchmarking Club – this is a collection of 14 small housing associations across the SE England who share performance data, good practice and expertise for the purpose of mutual benefit and support.  The benchmark data we receive is collected by the company Skills and Projects, which also collates additional, broader, benchmarking data, including that of larger housing associations.  In addition, our membership of Acuity enables us to further benchmark our activities against over 100 smaller associations nationally to provide an even more representative framework for comparison and analysis.</w:t>
      </w:r>
    </w:p>
    <w:p w14:paraId="44DA52A3" w14:textId="77777777" w:rsidR="00B245C8" w:rsidRPr="00B245C8" w:rsidRDefault="00B245C8" w:rsidP="00B245C8">
      <w:pPr>
        <w:ind w:left="720"/>
        <w:contextualSpacing/>
        <w:jc w:val="both"/>
        <w:rPr>
          <w:rFonts w:ascii="Calibri" w:eastAsia="Calibri" w:hAnsi="Calibri" w:cs="Times New Roman"/>
          <w:lang w:eastAsia="en-US"/>
        </w:rPr>
      </w:pPr>
    </w:p>
    <w:p w14:paraId="06A11B3F"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Broader benchmarking analysis against SPBM and Housemark data.</w:t>
      </w:r>
    </w:p>
    <w:p w14:paraId="6D9F062B" w14:textId="77777777" w:rsidR="00B245C8" w:rsidRPr="00B245C8" w:rsidRDefault="00B245C8" w:rsidP="00B245C8">
      <w:pPr>
        <w:ind w:left="360"/>
        <w:contextualSpacing/>
        <w:jc w:val="both"/>
        <w:rPr>
          <w:rFonts w:ascii="Calibri" w:eastAsia="Calibri" w:hAnsi="Calibri" w:cs="Times New Roman"/>
          <w:lang w:eastAsia="en-US"/>
        </w:rPr>
      </w:pPr>
    </w:p>
    <w:p w14:paraId="08BC8800"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Vfm log – We have an organisation-wide Value for Money log, to routinely capture and report vfm initiatives and savings</w:t>
      </w:r>
    </w:p>
    <w:p w14:paraId="43BA1C86" w14:textId="77777777" w:rsidR="00B245C8" w:rsidRPr="00B245C8" w:rsidRDefault="00B245C8" w:rsidP="00B245C8">
      <w:pPr>
        <w:ind w:left="720"/>
        <w:contextualSpacing/>
        <w:jc w:val="both"/>
        <w:rPr>
          <w:rFonts w:ascii="Calibri" w:eastAsia="Calibri" w:hAnsi="Calibri" w:cs="Times New Roman"/>
          <w:lang w:eastAsia="en-US"/>
        </w:rPr>
      </w:pPr>
    </w:p>
    <w:p w14:paraId="55E5272E"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Project Analysis – we will routinely review any new expenditure/investment decision to evaluate the impact and return on investment.</w:t>
      </w:r>
    </w:p>
    <w:p w14:paraId="531CFC22" w14:textId="77777777" w:rsidR="00B245C8" w:rsidRPr="00B245C8" w:rsidRDefault="00B245C8" w:rsidP="00B245C8">
      <w:pPr>
        <w:ind w:left="720"/>
        <w:contextualSpacing/>
        <w:rPr>
          <w:rFonts w:ascii="Calibri" w:eastAsia="Calibri" w:hAnsi="Calibri" w:cs="Times New Roman"/>
          <w:lang w:eastAsia="en-US"/>
        </w:rPr>
      </w:pPr>
    </w:p>
    <w:p w14:paraId="1A0177D3"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Regular VfM delivery reviews at Management Team and Operations meetings.</w:t>
      </w:r>
    </w:p>
    <w:p w14:paraId="455E9A77" w14:textId="77777777" w:rsidR="00B245C8" w:rsidRPr="00B245C8" w:rsidRDefault="00B245C8" w:rsidP="00B245C8">
      <w:pPr>
        <w:spacing w:after="0"/>
        <w:ind w:left="357"/>
        <w:contextualSpacing/>
        <w:jc w:val="both"/>
        <w:rPr>
          <w:rFonts w:ascii="Calibri" w:eastAsia="Calibri" w:hAnsi="Calibri" w:cs="Times New Roman"/>
          <w:lang w:eastAsia="en-US"/>
        </w:rPr>
      </w:pPr>
    </w:p>
    <w:p w14:paraId="5958A5A4" w14:textId="77777777" w:rsidR="00B245C8" w:rsidRPr="00B245C8" w:rsidRDefault="00B245C8" w:rsidP="00B245C8">
      <w:pPr>
        <w:numPr>
          <w:ilvl w:val="0"/>
          <w:numId w:val="10"/>
        </w:numPr>
        <w:contextualSpacing/>
        <w:jc w:val="both"/>
        <w:rPr>
          <w:rFonts w:ascii="Calibri" w:eastAsia="Calibri" w:hAnsi="Calibri" w:cs="Times New Roman"/>
          <w:b/>
          <w:lang w:eastAsia="en-US"/>
        </w:rPr>
      </w:pPr>
      <w:r w:rsidRPr="00B245C8">
        <w:rPr>
          <w:rFonts w:ascii="Calibri" w:eastAsia="Calibri" w:hAnsi="Calibri" w:cs="Times New Roman"/>
          <w:b/>
          <w:lang w:eastAsia="en-US"/>
        </w:rPr>
        <w:t>Achievements over the past twelve months</w:t>
      </w:r>
    </w:p>
    <w:p w14:paraId="38D75953" w14:textId="77777777" w:rsidR="00B245C8" w:rsidRPr="00B245C8" w:rsidRDefault="00B245C8" w:rsidP="00B245C8">
      <w:pPr>
        <w:spacing w:after="0"/>
        <w:ind w:left="357"/>
        <w:contextualSpacing/>
        <w:jc w:val="both"/>
        <w:rPr>
          <w:rFonts w:ascii="Calibri" w:eastAsia="Calibri" w:hAnsi="Calibri" w:cs="Times New Roman"/>
          <w:b/>
          <w:lang w:eastAsia="en-US"/>
        </w:rPr>
      </w:pPr>
    </w:p>
    <w:p w14:paraId="388A8956" w14:textId="7743C20E"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Our VfM achievements are a mixture of cash savings and quality enhancements at nil additional cost.  In total, they mark a significant progress in identifying opportunities for driving value and capturing the outcomes and benefits to prove their worth.</w:t>
      </w:r>
    </w:p>
    <w:p w14:paraId="35C38D52" w14:textId="77777777" w:rsidR="00B245C8" w:rsidRPr="00B245C8" w:rsidRDefault="00B245C8" w:rsidP="00B245C8">
      <w:pPr>
        <w:ind w:left="720"/>
        <w:contextualSpacing/>
        <w:jc w:val="both"/>
        <w:rPr>
          <w:rFonts w:ascii="Calibri" w:eastAsia="Calibri" w:hAnsi="Calibri" w:cs="Times New Roman"/>
          <w:lang w:eastAsia="en-US"/>
        </w:rPr>
      </w:pPr>
    </w:p>
    <w:p w14:paraId="2A115DE7" w14:textId="4274007E"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Driving efficiency savings, through improved maintenance procurement and delivery methods plus other housing and corporate activities.</w:t>
      </w:r>
    </w:p>
    <w:p w14:paraId="774C3BF5" w14:textId="77777777" w:rsidR="00B245C8" w:rsidRPr="00B245C8" w:rsidRDefault="00B245C8" w:rsidP="00B245C8">
      <w:pPr>
        <w:ind w:left="720"/>
        <w:contextualSpacing/>
        <w:jc w:val="both"/>
        <w:rPr>
          <w:rFonts w:ascii="Calibri" w:eastAsia="Calibri" w:hAnsi="Calibri" w:cs="Times New Roman"/>
          <w:lang w:eastAsia="en-US"/>
        </w:rPr>
      </w:pPr>
    </w:p>
    <w:p w14:paraId="42A52C6D"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 xml:space="preserve">Continued year-on-year savings in boilers, kitchens and bathroom installations. </w:t>
      </w:r>
    </w:p>
    <w:p w14:paraId="55A62657" w14:textId="77777777" w:rsidR="00B245C8" w:rsidRPr="00B245C8" w:rsidRDefault="00B245C8" w:rsidP="00B245C8">
      <w:pPr>
        <w:ind w:left="720"/>
        <w:contextualSpacing/>
        <w:jc w:val="both"/>
        <w:rPr>
          <w:rFonts w:ascii="Calibri" w:eastAsia="Calibri" w:hAnsi="Calibri" w:cs="Times New Roman"/>
          <w:lang w:eastAsia="en-US"/>
        </w:rPr>
      </w:pPr>
    </w:p>
    <w:p w14:paraId="6219C227"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 xml:space="preserve">Continued increase in organisation capacity through our apprentices.  </w:t>
      </w:r>
    </w:p>
    <w:p w14:paraId="113A3740" w14:textId="77777777" w:rsidR="00B245C8" w:rsidRPr="00B245C8" w:rsidRDefault="00B245C8" w:rsidP="00B245C8">
      <w:pPr>
        <w:ind w:left="720"/>
        <w:contextualSpacing/>
        <w:rPr>
          <w:rFonts w:ascii="Calibri" w:eastAsia="Calibri" w:hAnsi="Calibri" w:cs="Times New Roman"/>
          <w:b/>
          <w:lang w:eastAsia="en-US"/>
        </w:rPr>
      </w:pPr>
    </w:p>
    <w:p w14:paraId="01664701"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Investment in systems and technology to improve staff effectiveness and flexibility and ensure robust and sustainable systems.</w:t>
      </w:r>
    </w:p>
    <w:p w14:paraId="4BBEA00B" w14:textId="77777777" w:rsidR="00B245C8" w:rsidRPr="00B245C8" w:rsidRDefault="00B245C8" w:rsidP="00B245C8">
      <w:pPr>
        <w:ind w:left="720"/>
        <w:contextualSpacing/>
        <w:rPr>
          <w:rFonts w:ascii="Calibri" w:eastAsia="Calibri" w:hAnsi="Calibri" w:cs="Times New Roman"/>
          <w:b/>
          <w:lang w:eastAsia="en-US"/>
        </w:rPr>
      </w:pPr>
    </w:p>
    <w:p w14:paraId="6B0EA60E"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Delivery of Tenancy Health Checks to proactively engage with tenants and identify property or personal issues at an early stage rather than dealing with expensive failures.</w:t>
      </w:r>
    </w:p>
    <w:p w14:paraId="2C054725" w14:textId="77777777" w:rsidR="00B245C8" w:rsidRPr="00B245C8" w:rsidRDefault="00B245C8" w:rsidP="00B245C8">
      <w:pPr>
        <w:ind w:left="720"/>
        <w:contextualSpacing/>
        <w:rPr>
          <w:rFonts w:ascii="Calibri" w:eastAsia="Calibri" w:hAnsi="Calibri" w:cs="Times New Roman"/>
          <w:lang w:eastAsia="en-US"/>
        </w:rPr>
      </w:pPr>
    </w:p>
    <w:p w14:paraId="61872B2F"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 xml:space="preserve">Our performance in relation to rent collection and void periods has delivered improvements although repair expenditure has been over extended.  Arrears prevention remains challenging within the climate of welfare reductions and the context of a low-wage Island economy.  A </w:t>
      </w:r>
      <w:r w:rsidRPr="00B245C8">
        <w:rPr>
          <w:rFonts w:ascii="Calibri" w:eastAsia="Calibri" w:hAnsi="Calibri" w:cs="Times New Roman"/>
          <w:lang w:eastAsia="en-US"/>
        </w:rPr>
        <w:lastRenderedPageBreak/>
        <w:t xml:space="preserve">significant number of our tenants are in work, but still depend on benefits to supplement their income.  </w:t>
      </w:r>
    </w:p>
    <w:p w14:paraId="199094A0" w14:textId="77777777" w:rsidR="00B245C8" w:rsidRPr="00B245C8" w:rsidRDefault="00B245C8" w:rsidP="00B245C8">
      <w:pPr>
        <w:ind w:left="720"/>
        <w:contextualSpacing/>
        <w:jc w:val="both"/>
        <w:rPr>
          <w:rFonts w:ascii="Calibri" w:eastAsia="Calibri" w:hAnsi="Calibri" w:cs="Times New Roman"/>
          <w:lang w:eastAsia="en-US"/>
        </w:rPr>
      </w:pPr>
    </w:p>
    <w:p w14:paraId="5AA27CD7" w14:textId="77777777" w:rsidR="00B245C8" w:rsidRPr="00B245C8" w:rsidRDefault="00B245C8" w:rsidP="00B245C8">
      <w:pPr>
        <w:numPr>
          <w:ilvl w:val="1"/>
          <w:numId w:val="10"/>
        </w:numPr>
        <w:contextualSpacing/>
        <w:jc w:val="both"/>
        <w:rPr>
          <w:rFonts w:ascii="Calibri" w:eastAsia="Calibri" w:hAnsi="Calibri" w:cs="Times New Roman"/>
          <w:lang w:eastAsia="en-US"/>
        </w:rPr>
      </w:pPr>
      <w:r w:rsidRPr="00B245C8">
        <w:rPr>
          <w:rFonts w:ascii="Calibri" w:eastAsia="Calibri" w:hAnsi="Calibri" w:cs="Times New Roman"/>
          <w:lang w:eastAsia="en-US"/>
        </w:rPr>
        <w:t>Although repairs expenditure has been higher than programmed, this does not reflect spiralling costs.  In practice, we are addressing work that needs to be done through our pro-active tenancy health checks and estate inspections.  We have also unfortunately had to respond to a relatively few, high cost property costs.</w:t>
      </w:r>
    </w:p>
    <w:p w14:paraId="269C1F38" w14:textId="77777777" w:rsidR="00B245C8" w:rsidRPr="00B245C8" w:rsidRDefault="00B245C8" w:rsidP="00B245C8">
      <w:pPr>
        <w:ind w:left="720"/>
        <w:contextualSpacing/>
        <w:jc w:val="both"/>
        <w:rPr>
          <w:rFonts w:ascii="Calibri" w:eastAsia="Calibri" w:hAnsi="Calibri" w:cs="Times New Roman"/>
          <w:lang w:eastAsia="en-US"/>
        </w:rPr>
      </w:pPr>
    </w:p>
    <w:p w14:paraId="4E667C63" w14:textId="77777777" w:rsidR="00B245C8" w:rsidRPr="00B245C8" w:rsidRDefault="00B245C8" w:rsidP="00B245C8">
      <w:pPr>
        <w:numPr>
          <w:ilvl w:val="0"/>
          <w:numId w:val="10"/>
        </w:numPr>
        <w:contextualSpacing/>
        <w:jc w:val="both"/>
        <w:rPr>
          <w:rFonts w:ascii="Calibri" w:eastAsia="Calibri" w:hAnsi="Calibri" w:cs="Times New Roman"/>
          <w:lang w:eastAsia="en-US"/>
        </w:rPr>
      </w:pPr>
      <w:r w:rsidRPr="00B245C8">
        <w:rPr>
          <w:rFonts w:ascii="Calibri" w:eastAsia="Calibri" w:hAnsi="Calibri" w:cs="Times New Roman"/>
          <w:b/>
          <w:bCs/>
          <w:lang w:eastAsia="en-US"/>
        </w:rPr>
        <w:t xml:space="preserve">Financial return on assets </w:t>
      </w:r>
    </w:p>
    <w:p w14:paraId="4CBEC206"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We aim to invest in the right properties, to the right standard, in the right places, for the right costs, for the right return. </w:t>
      </w:r>
    </w:p>
    <w:p w14:paraId="4D2634C6" w14:textId="125056BE" w:rsidR="00B245C8" w:rsidRPr="00B245C8" w:rsidRDefault="00587702" w:rsidP="00B245C8">
      <w:pPr>
        <w:spacing w:after="0"/>
        <w:rPr>
          <w:rFonts w:ascii="Calibri" w:eastAsia="Calibri" w:hAnsi="Calibri" w:cs="Times New Roman"/>
          <w:b/>
          <w:lang w:eastAsia="en-US"/>
        </w:rPr>
      </w:pPr>
      <w:r>
        <w:rPr>
          <w:rFonts w:ascii="Calibri" w:eastAsia="Calibri" w:hAnsi="Calibri" w:cs="Times New Roman"/>
          <w:b/>
          <w:lang w:eastAsia="en-US"/>
        </w:rPr>
        <w:t>6</w:t>
      </w:r>
      <w:r w:rsidR="00B245C8" w:rsidRPr="00B245C8">
        <w:rPr>
          <w:rFonts w:ascii="Calibri" w:eastAsia="Calibri" w:hAnsi="Calibri" w:cs="Times New Roman"/>
          <w:b/>
          <w:lang w:eastAsia="en-US"/>
        </w:rPr>
        <w:t>.1 Measuring Financial Return</w:t>
      </w:r>
    </w:p>
    <w:p w14:paraId="4DC36C8A" w14:textId="77777777" w:rsidR="00B245C8" w:rsidRPr="00B245C8" w:rsidRDefault="00B245C8" w:rsidP="00B245C8">
      <w:pPr>
        <w:spacing w:after="0"/>
        <w:rPr>
          <w:rFonts w:ascii="Calibri" w:eastAsia="Calibri" w:hAnsi="Calibri" w:cs="Times New Roman"/>
          <w:highlight w:val="lightGray"/>
          <w:lang w:eastAsia="en-US"/>
        </w:rPr>
      </w:pPr>
    </w:p>
    <w:p w14:paraId="5D27D774"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In reviewing the financial return, we would expect our return on assets to be at least equal to the cost that Vectis pays for money we borrow, i.e. our cost of capital.  </w:t>
      </w:r>
    </w:p>
    <w:p w14:paraId="5C815781"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The four-year rent reduction, global and domestic uncertainty and the need for a re-assessment of trends in interest rates may all influence change in both the projected return on assets and the cost of capital in the medium and longer term. In the short term however, the maturing of fixed term loans matched with competitive rates for the Triodos facility will generate some benefit.</w:t>
      </w:r>
    </w:p>
    <w:p w14:paraId="6906CBF3"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Currently, surplus generated is re-invested partly to maintain existing stock and partly to generate new returns through social housing and new income streams. </w:t>
      </w:r>
    </w:p>
    <w:p w14:paraId="44CB0C2F" w14:textId="2FA9B00D" w:rsidR="00B245C8" w:rsidRPr="00B245C8" w:rsidRDefault="00587702" w:rsidP="00B245C8">
      <w:pPr>
        <w:spacing w:after="120"/>
        <w:jc w:val="both"/>
        <w:rPr>
          <w:rFonts w:ascii="Calibri" w:eastAsia="Calibri" w:hAnsi="Calibri" w:cs="Times New Roman"/>
          <w:b/>
          <w:bCs/>
          <w:lang w:eastAsia="en-US"/>
        </w:rPr>
      </w:pPr>
      <w:r>
        <w:rPr>
          <w:rFonts w:ascii="Calibri" w:eastAsia="Calibri" w:hAnsi="Calibri" w:cs="Times New Roman"/>
          <w:b/>
          <w:bCs/>
          <w:lang w:eastAsia="en-US"/>
        </w:rPr>
        <w:t>7</w:t>
      </w:r>
      <w:r w:rsidR="00B245C8" w:rsidRPr="00B245C8">
        <w:rPr>
          <w:rFonts w:ascii="Calibri" w:eastAsia="Calibri" w:hAnsi="Calibri" w:cs="Times New Roman"/>
          <w:b/>
          <w:bCs/>
          <w:lang w:eastAsia="en-US"/>
        </w:rPr>
        <w:t xml:space="preserve"> Improving the quality of our homes </w:t>
      </w:r>
    </w:p>
    <w:p w14:paraId="3C9F37EC" w14:textId="40DD0A8C" w:rsidR="00B245C8" w:rsidRPr="00B245C8" w:rsidRDefault="00CD6812" w:rsidP="00B245C8">
      <w:pPr>
        <w:jc w:val="both"/>
        <w:rPr>
          <w:rFonts w:ascii="Calibri" w:eastAsia="Calibri" w:hAnsi="Calibri" w:cs="Times New Roman"/>
          <w:lang w:eastAsia="en-US"/>
        </w:rPr>
      </w:pPr>
      <w:r>
        <w:rPr>
          <w:rFonts w:ascii="Calibri" w:eastAsia="Calibri" w:hAnsi="Calibri" w:cs="Times New Roman"/>
          <w:lang w:eastAsia="en-US"/>
        </w:rPr>
        <w:t>We will continue to</w:t>
      </w:r>
      <w:r w:rsidR="00B245C8" w:rsidRPr="00B245C8">
        <w:rPr>
          <w:rFonts w:ascii="Calibri" w:eastAsia="Calibri" w:hAnsi="Calibri" w:cs="Times New Roman"/>
          <w:lang w:eastAsia="en-US"/>
        </w:rPr>
        <w:t xml:space="preserve"> build new homes to a high design and construction standard.   We </w:t>
      </w:r>
      <w:r>
        <w:rPr>
          <w:rFonts w:ascii="Calibri" w:eastAsia="Calibri" w:hAnsi="Calibri" w:cs="Times New Roman"/>
          <w:lang w:eastAsia="en-US"/>
        </w:rPr>
        <w:t>will</w:t>
      </w:r>
      <w:r w:rsidR="00B245C8" w:rsidRPr="00B245C8">
        <w:rPr>
          <w:rFonts w:ascii="Calibri" w:eastAsia="Calibri" w:hAnsi="Calibri" w:cs="Times New Roman"/>
          <w:lang w:eastAsia="en-US"/>
        </w:rPr>
        <w:t xml:space="preserve"> also consistently invest in our older stock to upgrade the components and enhance environmental credentials.  This has the dual effect of improving the living environment for our tenants, reducing their fuel costs and reducing maintenance costs for future years.  </w:t>
      </w:r>
    </w:p>
    <w:p w14:paraId="43313233"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We are also absolutely committed to ensuring that our properties and local environments are absolutely safe and secure places to live.  We place great store on regular safety reviews and ensuring that current standards and guidance is adhered to.  We will not look to reduce costs where safety is unduly compromised as a result. </w:t>
      </w:r>
    </w:p>
    <w:p w14:paraId="515FA3B8"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On average, we spend per annum just over £700k on maintaining and improving our stock, an average of around £1750 per property.  Approximately £340k is spent on Planned Maintenance.  These works will ensure that we remain compliant with the Decent Homes requirement and maintains the value of our key assets.</w:t>
      </w:r>
    </w:p>
    <w:p w14:paraId="5D18B7D6"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Our balance between planned (including cyclical) and responsive maintenance is 70:30 (including the cost of components), demonstrating a robust approach to value and reflecting the commitments in our Asset Management Strategy. </w:t>
      </w:r>
    </w:p>
    <w:p w14:paraId="18517F76"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lastRenderedPageBreak/>
        <w:t>We continue to robustly review our older leased (HAL) properties and take the opportunity to offload the less satisfactory either from a management or a maintenance perspective as leases come up for renewal.  We believe that all of our stock should comply with the ‘Vectis Standard’.</w:t>
      </w:r>
    </w:p>
    <w:p w14:paraId="099388DE"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As a result of this approach the returns on the investment in our property portfolio have increased from both a financial point of view but also from service provision and environmental perspectives. </w:t>
      </w:r>
    </w:p>
    <w:p w14:paraId="7BF66C8F" w14:textId="523B0731" w:rsidR="00B245C8" w:rsidRPr="00B245C8" w:rsidRDefault="00CD6812" w:rsidP="00B245C8">
      <w:pPr>
        <w:jc w:val="both"/>
        <w:rPr>
          <w:rFonts w:ascii="Calibri" w:eastAsia="Calibri" w:hAnsi="Calibri" w:cs="Times New Roman"/>
          <w:lang w:eastAsia="en-US"/>
        </w:rPr>
      </w:pPr>
      <w:r>
        <w:rPr>
          <w:rFonts w:ascii="Calibri" w:eastAsia="Calibri" w:hAnsi="Calibri" w:cs="Times New Roman"/>
          <w:b/>
          <w:bCs/>
          <w:lang w:eastAsia="en-US"/>
        </w:rPr>
        <w:t>8.</w:t>
      </w:r>
      <w:r w:rsidR="00B245C8" w:rsidRPr="00B245C8">
        <w:rPr>
          <w:rFonts w:ascii="Calibri" w:eastAsia="Calibri" w:hAnsi="Calibri" w:cs="Times New Roman"/>
          <w:b/>
          <w:bCs/>
          <w:lang w:eastAsia="en-US"/>
        </w:rPr>
        <w:t xml:space="preserve"> Social Return on Investment</w:t>
      </w:r>
    </w:p>
    <w:p w14:paraId="37AFA7D4"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We provide homes to over 400 households across the Isle of Wight, which generated an economic return to enable us to provide our services.  However, the value generated by our activities is much wider than pure financial return. We play a major role, in supporting the social fabric of the Isle of Wight and underpinning the economy.  As the main Island-based developing association, we have taken on an increasingly significant strategic role as key partners to the Isle of Wight Council.  </w:t>
      </w:r>
    </w:p>
    <w:p w14:paraId="68C64FD9"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Through the provision of high quality homes and extended levels of support to often vulnerable households, we not only create stable communities, we also directly contribute to:</w:t>
      </w:r>
    </w:p>
    <w:p w14:paraId="1AF21DE3" w14:textId="77777777" w:rsidR="00B245C8" w:rsidRPr="00B245C8" w:rsidRDefault="00B245C8" w:rsidP="00B245C8">
      <w:pPr>
        <w:numPr>
          <w:ilvl w:val="0"/>
          <w:numId w:val="8"/>
        </w:numPr>
        <w:contextualSpacing/>
        <w:jc w:val="both"/>
        <w:rPr>
          <w:rFonts w:ascii="Calibri" w:eastAsia="Calibri" w:hAnsi="Calibri" w:cs="Times New Roman"/>
          <w:lang w:eastAsia="en-US"/>
        </w:rPr>
      </w:pPr>
      <w:r w:rsidRPr="00B245C8">
        <w:rPr>
          <w:rFonts w:ascii="Calibri" w:eastAsia="Calibri" w:hAnsi="Calibri" w:cs="Times New Roman"/>
          <w:lang w:eastAsia="en-US"/>
        </w:rPr>
        <w:t>Improved health</w:t>
      </w:r>
    </w:p>
    <w:p w14:paraId="55715013" w14:textId="77777777" w:rsidR="00B245C8" w:rsidRPr="00B245C8" w:rsidRDefault="00B245C8" w:rsidP="00B245C8">
      <w:pPr>
        <w:numPr>
          <w:ilvl w:val="0"/>
          <w:numId w:val="8"/>
        </w:numPr>
        <w:contextualSpacing/>
        <w:jc w:val="both"/>
        <w:rPr>
          <w:rFonts w:ascii="Calibri" w:eastAsia="Calibri" w:hAnsi="Calibri" w:cs="Times New Roman"/>
          <w:lang w:eastAsia="en-US"/>
        </w:rPr>
      </w:pPr>
      <w:r w:rsidRPr="00B245C8">
        <w:rPr>
          <w:rFonts w:ascii="Calibri" w:eastAsia="Calibri" w:hAnsi="Calibri" w:cs="Times New Roman"/>
          <w:lang w:eastAsia="en-US"/>
        </w:rPr>
        <w:t xml:space="preserve">Enhanced well-being </w:t>
      </w:r>
    </w:p>
    <w:p w14:paraId="7719D519" w14:textId="77777777" w:rsidR="00B245C8" w:rsidRPr="00B245C8" w:rsidRDefault="00B245C8" w:rsidP="00B245C8">
      <w:pPr>
        <w:numPr>
          <w:ilvl w:val="0"/>
          <w:numId w:val="8"/>
        </w:numPr>
        <w:contextualSpacing/>
        <w:jc w:val="both"/>
        <w:rPr>
          <w:rFonts w:ascii="Calibri" w:eastAsia="Calibri" w:hAnsi="Calibri" w:cs="Times New Roman"/>
          <w:lang w:eastAsia="en-US"/>
        </w:rPr>
      </w:pPr>
      <w:r w:rsidRPr="00B245C8">
        <w:rPr>
          <w:rFonts w:ascii="Calibri" w:eastAsia="Calibri" w:hAnsi="Calibri" w:cs="Times New Roman"/>
          <w:lang w:eastAsia="en-US"/>
        </w:rPr>
        <w:t xml:space="preserve">Greater sense of community </w:t>
      </w:r>
    </w:p>
    <w:p w14:paraId="35110503" w14:textId="77777777" w:rsidR="00B245C8" w:rsidRPr="00B245C8" w:rsidRDefault="00B245C8" w:rsidP="00B245C8">
      <w:pPr>
        <w:numPr>
          <w:ilvl w:val="0"/>
          <w:numId w:val="8"/>
        </w:numPr>
        <w:contextualSpacing/>
        <w:jc w:val="both"/>
        <w:rPr>
          <w:rFonts w:ascii="Calibri" w:eastAsia="Calibri" w:hAnsi="Calibri" w:cs="Times New Roman"/>
          <w:lang w:eastAsia="en-US"/>
        </w:rPr>
      </w:pPr>
      <w:r w:rsidRPr="00B245C8">
        <w:rPr>
          <w:rFonts w:ascii="Calibri" w:eastAsia="Calibri" w:hAnsi="Calibri" w:cs="Times New Roman"/>
          <w:lang w:eastAsia="en-US"/>
        </w:rPr>
        <w:t xml:space="preserve">Reduced impact on the statutory services </w:t>
      </w:r>
    </w:p>
    <w:p w14:paraId="68FA1157" w14:textId="77777777" w:rsidR="00B245C8" w:rsidRPr="00B245C8" w:rsidRDefault="00B245C8" w:rsidP="00B245C8">
      <w:pPr>
        <w:numPr>
          <w:ilvl w:val="0"/>
          <w:numId w:val="8"/>
        </w:numPr>
        <w:contextualSpacing/>
        <w:jc w:val="both"/>
        <w:rPr>
          <w:rFonts w:ascii="Calibri" w:eastAsia="Calibri" w:hAnsi="Calibri" w:cs="Times New Roman"/>
          <w:lang w:eastAsia="en-US"/>
        </w:rPr>
      </w:pPr>
      <w:r w:rsidRPr="00B245C8">
        <w:rPr>
          <w:rFonts w:ascii="Calibri" w:eastAsia="Calibri" w:hAnsi="Calibri" w:cs="Times New Roman"/>
          <w:lang w:eastAsia="en-US"/>
        </w:rPr>
        <w:t xml:space="preserve">Increased employability </w:t>
      </w:r>
    </w:p>
    <w:p w14:paraId="5C781ADC"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We have a policy that promotes sustainable tenancies, which through each of the above has significant cost-benefit outcomes for the households, the Island community and the public purse. We have further extended this approach through the developing role of our Communities Team.  Since 2015, we have attracted in excess of £280,000 in grant funding to deliver a range of activities aimed at better engaging and supporting our tenants.  This has resulted in improved employability options, with a number of tenants subsequently finding employment and a more robust relationship with tenants based on a more holistic approach to tenancy management and support.</w:t>
      </w:r>
    </w:p>
    <w:p w14:paraId="06AB451D"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We also believe that we make a major contribution to the Island economy.  We are currently the main provider of new social rented housing on the Island.  Developing homes generates employment, both directly and indirectly.  Good quality new homes often revitalise an area, local businesses benefit from the trade from residents and local schools can benefit from additional pupils.</w:t>
      </w:r>
    </w:p>
    <w:p w14:paraId="73871F2E"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We also work predominantly with Island-based businesses, resulting in a greater level of direct investment in the local economy.</w:t>
      </w:r>
    </w:p>
    <w:p w14:paraId="21C42A03" w14:textId="1BD51B3E" w:rsidR="00B245C8" w:rsidRPr="00B245C8" w:rsidRDefault="00CD6812" w:rsidP="00B245C8">
      <w:pPr>
        <w:jc w:val="both"/>
        <w:rPr>
          <w:rFonts w:ascii="Calibri" w:eastAsia="Calibri" w:hAnsi="Calibri" w:cs="Times New Roman"/>
          <w:b/>
          <w:bCs/>
          <w:lang w:eastAsia="en-US"/>
        </w:rPr>
      </w:pPr>
      <w:r>
        <w:rPr>
          <w:rFonts w:ascii="Calibri" w:eastAsia="Calibri" w:hAnsi="Calibri" w:cs="Times New Roman"/>
          <w:b/>
          <w:bCs/>
          <w:lang w:eastAsia="en-US"/>
        </w:rPr>
        <w:t>9.</w:t>
      </w:r>
      <w:r w:rsidR="00B245C8" w:rsidRPr="00B245C8">
        <w:rPr>
          <w:rFonts w:ascii="Calibri" w:eastAsia="Calibri" w:hAnsi="Calibri" w:cs="Times New Roman"/>
          <w:b/>
          <w:bCs/>
          <w:lang w:eastAsia="en-US"/>
        </w:rPr>
        <w:t xml:space="preserve"> Costs of delivering services </w:t>
      </w:r>
    </w:p>
    <w:p w14:paraId="7D8C8A21"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We benchmark the cost of providing our services with other housing associations in the SHAPE benchmark club.  Although the members of SHAPE are diverse in terms of business complexity and size, they are all `small’ housing associations and experience the various advantages and disadvantages that this brings.  While not all of the performance data are based on directly comparable services, they offer a useful framework for analysis.</w:t>
      </w:r>
    </w:p>
    <w:p w14:paraId="158F4521" w14:textId="77777777" w:rsidR="00B245C8" w:rsidRDefault="00B245C8" w:rsidP="00B245C8">
      <w:pPr>
        <w:jc w:val="both"/>
        <w:rPr>
          <w:rFonts w:ascii="Calibri" w:eastAsia="Calibri" w:hAnsi="Calibri" w:cs="Times New Roman"/>
          <w:b/>
          <w:bCs/>
          <w:lang w:eastAsia="en-US"/>
        </w:rPr>
      </w:pPr>
    </w:p>
    <w:p w14:paraId="139C1A6A" w14:textId="51F12F2E" w:rsidR="00B245C8" w:rsidRPr="00B245C8" w:rsidRDefault="00CD6812" w:rsidP="00B245C8">
      <w:pPr>
        <w:jc w:val="both"/>
        <w:rPr>
          <w:rFonts w:ascii="Calibri" w:eastAsia="Calibri" w:hAnsi="Calibri" w:cs="Times New Roman"/>
          <w:b/>
          <w:bCs/>
          <w:lang w:eastAsia="en-US"/>
        </w:rPr>
      </w:pPr>
      <w:r>
        <w:rPr>
          <w:rFonts w:ascii="Calibri" w:eastAsia="Calibri" w:hAnsi="Calibri" w:cs="Times New Roman"/>
          <w:b/>
          <w:bCs/>
          <w:lang w:eastAsia="en-US"/>
        </w:rPr>
        <w:lastRenderedPageBreak/>
        <w:t>10.</w:t>
      </w:r>
      <w:r w:rsidR="00B245C8" w:rsidRPr="00B245C8">
        <w:rPr>
          <w:rFonts w:ascii="Calibri" w:eastAsia="Calibri" w:hAnsi="Calibri" w:cs="Times New Roman"/>
          <w:b/>
          <w:bCs/>
          <w:lang w:eastAsia="en-US"/>
        </w:rPr>
        <w:t xml:space="preserve"> Performance </w:t>
      </w:r>
    </w:p>
    <w:p w14:paraId="66AE02E3" w14:textId="08011829" w:rsidR="00B245C8" w:rsidRPr="00B245C8" w:rsidRDefault="00B245C8" w:rsidP="00B245C8">
      <w:pPr>
        <w:jc w:val="both"/>
        <w:rPr>
          <w:rFonts w:ascii="Calibri" w:eastAsia="Calibri" w:hAnsi="Calibri" w:cs="Times New Roman"/>
          <w:bCs/>
          <w:lang w:eastAsia="en-US"/>
        </w:rPr>
      </w:pPr>
      <w:r w:rsidRPr="00B245C8">
        <w:rPr>
          <w:rFonts w:ascii="Calibri" w:eastAsia="Calibri" w:hAnsi="Calibri" w:cs="Times New Roman"/>
          <w:bCs/>
          <w:lang w:eastAsia="en-US"/>
        </w:rPr>
        <w:t xml:space="preserve">We </w:t>
      </w:r>
      <w:r w:rsidR="00CD6812">
        <w:rPr>
          <w:rFonts w:ascii="Calibri" w:eastAsia="Calibri" w:hAnsi="Calibri" w:cs="Times New Roman"/>
          <w:bCs/>
          <w:lang w:eastAsia="en-US"/>
        </w:rPr>
        <w:t>will continue to</w:t>
      </w:r>
      <w:r w:rsidRPr="00B245C8">
        <w:rPr>
          <w:rFonts w:ascii="Calibri" w:eastAsia="Calibri" w:hAnsi="Calibri" w:cs="Times New Roman"/>
          <w:bCs/>
          <w:lang w:eastAsia="en-US"/>
        </w:rPr>
        <w:t xml:space="preserve"> collect performance data which is reported regularly to the Board and to our tenants via our newsletters and website.    </w:t>
      </w:r>
    </w:p>
    <w:p w14:paraId="3CB1A903" w14:textId="3EAE983C" w:rsidR="00B245C8" w:rsidRPr="00B245C8" w:rsidRDefault="00CD6812" w:rsidP="00B245C8">
      <w:pPr>
        <w:rPr>
          <w:rFonts w:ascii="Calibri" w:eastAsia="Calibri" w:hAnsi="Calibri" w:cs="Times New Roman"/>
          <w:b/>
          <w:bCs/>
          <w:lang w:eastAsia="en-US"/>
        </w:rPr>
      </w:pPr>
      <w:r>
        <w:rPr>
          <w:rFonts w:ascii="Calibri" w:eastAsia="Calibri" w:hAnsi="Calibri" w:cs="Times New Roman"/>
          <w:b/>
          <w:bCs/>
          <w:lang w:eastAsia="en-US"/>
        </w:rPr>
        <w:t>11.</w:t>
      </w:r>
      <w:r w:rsidR="00B245C8" w:rsidRPr="00B245C8">
        <w:rPr>
          <w:rFonts w:ascii="Calibri" w:eastAsia="Calibri" w:hAnsi="Calibri" w:cs="Times New Roman"/>
          <w:b/>
          <w:bCs/>
          <w:lang w:eastAsia="en-US"/>
        </w:rPr>
        <w:t xml:space="preserve"> Treasury management</w:t>
      </w:r>
    </w:p>
    <w:p w14:paraId="06ADBD2C"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We endeavour to obtain best rates for the investment of those funds set aside for development and long-term maintenance projects, so not called upon for immediate access. </w:t>
      </w:r>
    </w:p>
    <w:p w14:paraId="523EF5BC"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With current deposit rates so low, there is negligible benefit in investing suns with financial institutions on short notice. The current arrangement to maximise our income is a daily sweep between our NatWest current and reserve accounts. </w:t>
      </w:r>
    </w:p>
    <w:p w14:paraId="54660257"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The addition Triodos loan facility will only be drawn down as required for the development pipeline.</w:t>
      </w:r>
    </w:p>
    <w:p w14:paraId="6874A3A9" w14:textId="42D18C8A" w:rsidR="00B245C8" w:rsidRPr="00B245C8" w:rsidRDefault="00CD6812" w:rsidP="00B245C8">
      <w:pPr>
        <w:spacing w:after="120"/>
        <w:jc w:val="both"/>
        <w:rPr>
          <w:rFonts w:ascii="Calibri" w:eastAsia="Calibri" w:hAnsi="Calibri" w:cs="Times New Roman"/>
          <w:b/>
          <w:bCs/>
          <w:lang w:eastAsia="en-US"/>
        </w:rPr>
      </w:pPr>
      <w:r>
        <w:rPr>
          <w:rFonts w:ascii="Calibri" w:eastAsia="Calibri" w:hAnsi="Calibri" w:cs="Times New Roman"/>
          <w:b/>
          <w:bCs/>
          <w:lang w:eastAsia="en-US"/>
        </w:rPr>
        <w:t>12</w:t>
      </w:r>
      <w:r w:rsidR="00B245C8" w:rsidRPr="00B245C8">
        <w:rPr>
          <w:rFonts w:ascii="Calibri" w:eastAsia="Calibri" w:hAnsi="Calibri" w:cs="Times New Roman"/>
          <w:b/>
          <w:bCs/>
          <w:lang w:eastAsia="en-US"/>
        </w:rPr>
        <w:t xml:space="preserve">. Improvement plans for the </w:t>
      </w:r>
      <w:r>
        <w:rPr>
          <w:rFonts w:ascii="Calibri" w:eastAsia="Calibri" w:hAnsi="Calibri" w:cs="Times New Roman"/>
          <w:b/>
          <w:bCs/>
          <w:lang w:eastAsia="en-US"/>
        </w:rPr>
        <w:t>future</w:t>
      </w:r>
      <w:r w:rsidR="00B245C8" w:rsidRPr="00B245C8">
        <w:rPr>
          <w:rFonts w:ascii="Calibri" w:eastAsia="Calibri" w:hAnsi="Calibri" w:cs="Times New Roman"/>
          <w:b/>
          <w:bCs/>
          <w:lang w:eastAsia="en-US"/>
        </w:rPr>
        <w:t xml:space="preserve"> </w:t>
      </w:r>
    </w:p>
    <w:p w14:paraId="5DB7855A" w14:textId="531BC10F" w:rsidR="00B245C8" w:rsidRPr="00B245C8" w:rsidRDefault="00CD6812" w:rsidP="00B245C8">
      <w:pPr>
        <w:spacing w:after="120"/>
        <w:jc w:val="both"/>
        <w:rPr>
          <w:rFonts w:ascii="Calibri" w:eastAsia="Calibri" w:hAnsi="Calibri" w:cs="Times New Roman"/>
          <w:lang w:eastAsia="en-US"/>
        </w:rPr>
      </w:pPr>
      <w:r>
        <w:rPr>
          <w:rFonts w:ascii="Calibri" w:eastAsia="Calibri" w:hAnsi="Calibri" w:cs="Times New Roman"/>
          <w:b/>
          <w:bCs/>
          <w:lang w:eastAsia="en-US"/>
        </w:rPr>
        <w:t>12</w:t>
      </w:r>
      <w:r w:rsidR="00B245C8" w:rsidRPr="00B245C8">
        <w:rPr>
          <w:rFonts w:ascii="Calibri" w:eastAsia="Calibri" w:hAnsi="Calibri" w:cs="Times New Roman"/>
          <w:b/>
          <w:bCs/>
          <w:lang w:eastAsia="en-US"/>
        </w:rPr>
        <w:t xml:space="preserve">.1 Increasing returns through new business </w:t>
      </w:r>
    </w:p>
    <w:p w14:paraId="6483AA4E"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Our business strategy includes a strong focus on growth.  Growth is planned both in increasing housing stock numbers and in relation to the potential for expansion in our core areas of operation.  </w:t>
      </w:r>
    </w:p>
    <w:p w14:paraId="2A295FA8" w14:textId="584354E0" w:rsidR="00B245C8" w:rsidRPr="00B245C8" w:rsidRDefault="00CD6812" w:rsidP="00B245C8">
      <w:pPr>
        <w:spacing w:after="120"/>
        <w:jc w:val="both"/>
        <w:rPr>
          <w:rFonts w:ascii="Calibri" w:eastAsia="Calibri" w:hAnsi="Calibri" w:cs="Times New Roman"/>
          <w:b/>
          <w:bCs/>
          <w:lang w:eastAsia="en-US"/>
        </w:rPr>
      </w:pPr>
      <w:r>
        <w:rPr>
          <w:rFonts w:ascii="Calibri" w:eastAsia="Calibri" w:hAnsi="Calibri" w:cs="Times New Roman"/>
          <w:b/>
          <w:bCs/>
          <w:lang w:eastAsia="en-US"/>
        </w:rPr>
        <w:t>12</w:t>
      </w:r>
      <w:r w:rsidR="00B245C8" w:rsidRPr="00B245C8">
        <w:rPr>
          <w:rFonts w:ascii="Calibri" w:eastAsia="Calibri" w:hAnsi="Calibri" w:cs="Times New Roman"/>
          <w:b/>
          <w:bCs/>
          <w:lang w:eastAsia="en-US"/>
        </w:rPr>
        <w:t>.2 Increase performance and VfM awareness in our staff</w:t>
      </w:r>
    </w:p>
    <w:p w14:paraId="10478A66" w14:textId="77777777"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 xml:space="preserve">We look constantly to reinforce and enhance staff skills and appreciation necessary to achieve a functioning value for money culture.  We have approached this through introducing appropriate systems and processes, training, guidance and promoting an understanding of the commercial imperatives of running a business.  </w:t>
      </w:r>
    </w:p>
    <w:p w14:paraId="239520C8" w14:textId="44EB076F" w:rsidR="00B245C8" w:rsidRPr="00B245C8" w:rsidRDefault="00B245C8" w:rsidP="00B245C8">
      <w:pPr>
        <w:jc w:val="both"/>
        <w:rPr>
          <w:rFonts w:ascii="Calibri" w:eastAsia="Calibri" w:hAnsi="Calibri" w:cs="Times New Roman"/>
          <w:lang w:eastAsia="en-US"/>
        </w:rPr>
      </w:pPr>
      <w:r w:rsidRPr="00B245C8">
        <w:rPr>
          <w:rFonts w:ascii="Calibri" w:eastAsia="Calibri" w:hAnsi="Calibri" w:cs="Times New Roman"/>
          <w:lang w:eastAsia="en-US"/>
        </w:rPr>
        <w:t>The Value for Money log requires staff to record all aspects of activity that result in either financial savings or increases in quality within existing costs.  We recognise that there is more that we can do to fully integrate this into daily operations.</w:t>
      </w:r>
    </w:p>
    <w:p w14:paraId="2B175533" w14:textId="4DC77F18" w:rsidR="00B245C8" w:rsidRPr="00B245C8" w:rsidRDefault="00CD6812" w:rsidP="00B245C8">
      <w:pPr>
        <w:spacing w:after="120"/>
        <w:jc w:val="both"/>
        <w:rPr>
          <w:rFonts w:ascii="Calibri" w:eastAsia="Calibri" w:hAnsi="Calibri" w:cs="Times New Roman"/>
          <w:b/>
          <w:bCs/>
          <w:lang w:eastAsia="en-US"/>
        </w:rPr>
      </w:pPr>
      <w:r>
        <w:rPr>
          <w:rFonts w:ascii="Calibri" w:eastAsia="Calibri" w:hAnsi="Calibri" w:cs="Times New Roman"/>
          <w:b/>
          <w:bCs/>
          <w:lang w:eastAsia="en-US"/>
        </w:rPr>
        <w:t>12</w:t>
      </w:r>
      <w:r w:rsidR="00B245C8" w:rsidRPr="00B245C8">
        <w:rPr>
          <w:rFonts w:ascii="Calibri" w:eastAsia="Calibri" w:hAnsi="Calibri" w:cs="Times New Roman"/>
          <w:b/>
          <w:bCs/>
          <w:lang w:eastAsia="en-US"/>
        </w:rPr>
        <w:t>.3 Engaging with residents to deliver VfM</w:t>
      </w:r>
    </w:p>
    <w:p w14:paraId="392C5660" w14:textId="77777777" w:rsidR="00B245C8" w:rsidRPr="00B245C8" w:rsidRDefault="00B245C8" w:rsidP="00B245C8">
      <w:pPr>
        <w:spacing w:after="120"/>
        <w:jc w:val="both"/>
        <w:rPr>
          <w:rFonts w:ascii="Calibri" w:eastAsia="Calibri" w:hAnsi="Calibri" w:cs="Times New Roman"/>
          <w:bCs/>
          <w:lang w:eastAsia="en-US"/>
        </w:rPr>
      </w:pPr>
      <w:r w:rsidRPr="00B245C8">
        <w:rPr>
          <w:rFonts w:ascii="Calibri" w:eastAsia="Calibri" w:hAnsi="Calibri" w:cs="Times New Roman"/>
          <w:bCs/>
          <w:lang w:eastAsia="en-US"/>
        </w:rPr>
        <w:t xml:space="preserve">We are aware that our tenants, as the principal users of our services, see first-hand the qualities and shortcomings of our delivery methods.  We will promote a greater role for tenants in quality reviewing services, making suggestions for future improvements and further extend our opportunities for mystery shopping.  </w:t>
      </w:r>
    </w:p>
    <w:p w14:paraId="74FA7A56" w14:textId="4884716B" w:rsidR="00B245C8" w:rsidRPr="00B245C8" w:rsidRDefault="00CD6812" w:rsidP="00B245C8">
      <w:pPr>
        <w:spacing w:after="120"/>
        <w:jc w:val="both"/>
        <w:rPr>
          <w:rFonts w:ascii="Calibri" w:eastAsia="Calibri" w:hAnsi="Calibri" w:cs="Times New Roman"/>
          <w:b/>
          <w:bCs/>
          <w:lang w:eastAsia="en-US"/>
        </w:rPr>
      </w:pPr>
      <w:r>
        <w:rPr>
          <w:rFonts w:ascii="Calibri" w:eastAsia="Calibri" w:hAnsi="Calibri" w:cs="Times New Roman"/>
          <w:b/>
          <w:bCs/>
          <w:lang w:eastAsia="en-US"/>
        </w:rPr>
        <w:t>12</w:t>
      </w:r>
      <w:r w:rsidR="00B245C8" w:rsidRPr="00B245C8">
        <w:rPr>
          <w:rFonts w:ascii="Calibri" w:eastAsia="Calibri" w:hAnsi="Calibri" w:cs="Times New Roman"/>
          <w:b/>
          <w:bCs/>
          <w:lang w:eastAsia="en-US"/>
        </w:rPr>
        <w:t>.4 Sustaining Communities</w:t>
      </w:r>
    </w:p>
    <w:p w14:paraId="483430CC" w14:textId="1BFFF9E7" w:rsidR="00B245C8" w:rsidRPr="00B245C8" w:rsidRDefault="00B245C8" w:rsidP="00B245C8">
      <w:pPr>
        <w:spacing w:after="120"/>
        <w:jc w:val="both"/>
        <w:rPr>
          <w:rFonts w:ascii="Calibri" w:eastAsia="Calibri" w:hAnsi="Calibri" w:cs="Times New Roman"/>
          <w:bCs/>
          <w:lang w:eastAsia="en-US"/>
        </w:rPr>
      </w:pPr>
      <w:r w:rsidRPr="00B245C8">
        <w:rPr>
          <w:rFonts w:ascii="Calibri" w:eastAsia="Calibri" w:hAnsi="Calibri" w:cs="Times New Roman"/>
          <w:bCs/>
          <w:lang w:eastAsia="en-US"/>
        </w:rPr>
        <w:t xml:space="preserve">Our Communities Team support our work in creating sustainable tenancies and stable communities.  We believe that strong social networks will ultimately reduce stock turnaround, lower levels of anti-social behaviour and enable tenants to manage their homes and resources better. </w:t>
      </w:r>
    </w:p>
    <w:p w14:paraId="1540F02F" w14:textId="77777777" w:rsidR="00B245C8" w:rsidRPr="00B245C8" w:rsidRDefault="00B245C8" w:rsidP="00B245C8">
      <w:pPr>
        <w:spacing w:after="120"/>
        <w:jc w:val="both"/>
        <w:rPr>
          <w:rFonts w:ascii="Calibri" w:eastAsia="Calibri" w:hAnsi="Calibri" w:cs="Times New Roman"/>
          <w:bCs/>
          <w:lang w:eastAsia="en-US"/>
        </w:rPr>
      </w:pPr>
      <w:r w:rsidRPr="00B245C8">
        <w:rPr>
          <w:rFonts w:ascii="Calibri" w:eastAsia="Calibri" w:hAnsi="Calibri" w:cs="Times New Roman"/>
          <w:bCs/>
          <w:lang w:eastAsia="en-US"/>
        </w:rPr>
        <w:t>We will also consider other needs that have emerged as a result of the communities programme that may result in further grant bids moving forward.</w:t>
      </w:r>
    </w:p>
    <w:p w14:paraId="504CAA95" w14:textId="78811133" w:rsidR="00B245C8" w:rsidRPr="00B245C8" w:rsidRDefault="00CD6812" w:rsidP="00B245C8">
      <w:pPr>
        <w:jc w:val="both"/>
        <w:rPr>
          <w:rFonts w:ascii="Calibri" w:eastAsia="Calibri" w:hAnsi="Calibri" w:cs="Times New Roman"/>
          <w:lang w:eastAsia="en-US"/>
        </w:rPr>
      </w:pPr>
      <w:r>
        <w:rPr>
          <w:rFonts w:ascii="Calibri" w:eastAsia="Calibri" w:hAnsi="Calibri" w:cs="Times New Roman"/>
          <w:b/>
          <w:lang w:eastAsia="en-US"/>
        </w:rPr>
        <w:t>12.5</w:t>
      </w:r>
      <w:r w:rsidR="00B245C8" w:rsidRPr="00B245C8">
        <w:rPr>
          <w:rFonts w:ascii="Calibri" w:eastAsia="Calibri" w:hAnsi="Calibri" w:cs="Times New Roman"/>
          <w:b/>
          <w:lang w:eastAsia="en-US"/>
        </w:rPr>
        <w:t xml:space="preserve"> Repairs and Maintenance – </w:t>
      </w:r>
      <w:r w:rsidR="00B245C8" w:rsidRPr="00B245C8">
        <w:rPr>
          <w:rFonts w:ascii="Calibri" w:eastAsia="Calibri" w:hAnsi="Calibri" w:cs="Times New Roman"/>
          <w:lang w:eastAsia="en-US"/>
        </w:rPr>
        <w:t>We will</w:t>
      </w:r>
      <w:r w:rsidR="00B245C8" w:rsidRPr="00B245C8">
        <w:rPr>
          <w:rFonts w:ascii="Calibri" w:eastAsia="Calibri" w:hAnsi="Calibri" w:cs="Times New Roman"/>
          <w:b/>
          <w:lang w:eastAsia="en-US"/>
        </w:rPr>
        <w:t xml:space="preserve"> c</w:t>
      </w:r>
      <w:r w:rsidR="00B245C8" w:rsidRPr="00B245C8">
        <w:rPr>
          <w:rFonts w:ascii="Calibri" w:eastAsia="Calibri" w:hAnsi="Calibri" w:cs="Times New Roman"/>
          <w:lang w:eastAsia="en-US"/>
        </w:rPr>
        <w:t xml:space="preserve">ontinue to benefit from significant procurement savings and improved purchasing processes.  The use of our in-house DLO resource to fit new kitchens </w:t>
      </w:r>
      <w:r w:rsidR="00B245C8" w:rsidRPr="00B245C8">
        <w:rPr>
          <w:rFonts w:ascii="Calibri" w:eastAsia="Calibri" w:hAnsi="Calibri" w:cs="Times New Roman"/>
          <w:lang w:eastAsia="en-US"/>
        </w:rPr>
        <w:lastRenderedPageBreak/>
        <w:t>continues to deliver improvement in value.  We also propose to employ an in-house plumber to carry out bathroom replacements and responsive repairs with a view to reducing costs further.</w:t>
      </w:r>
    </w:p>
    <w:p w14:paraId="2E4BECE2" w14:textId="3C2B39B0" w:rsidR="00B245C8" w:rsidRPr="00CD6812" w:rsidRDefault="00CD6812" w:rsidP="00B245C8">
      <w:pPr>
        <w:jc w:val="both"/>
        <w:rPr>
          <w:rFonts w:ascii="Calibri" w:eastAsia="Calibri" w:hAnsi="Calibri" w:cs="Times New Roman"/>
          <w:lang w:eastAsia="en-US"/>
        </w:rPr>
      </w:pPr>
      <w:r>
        <w:rPr>
          <w:rFonts w:ascii="Calibri" w:eastAsia="Calibri" w:hAnsi="Calibri" w:cs="Times New Roman"/>
          <w:b/>
          <w:lang w:eastAsia="en-US"/>
        </w:rPr>
        <w:t>12.6</w:t>
      </w:r>
      <w:r w:rsidR="00B245C8" w:rsidRPr="00B245C8">
        <w:rPr>
          <w:rFonts w:ascii="Calibri" w:eastAsia="Calibri" w:hAnsi="Calibri" w:cs="Times New Roman"/>
          <w:b/>
          <w:lang w:eastAsia="en-US"/>
        </w:rPr>
        <w:t xml:space="preserve"> </w:t>
      </w:r>
      <w:r w:rsidR="00B245C8" w:rsidRPr="00CD6812">
        <w:rPr>
          <w:rFonts w:ascii="Calibri" w:eastAsia="Calibri" w:hAnsi="Calibri" w:cs="Times New Roman"/>
          <w:b/>
          <w:lang w:eastAsia="en-US"/>
        </w:rPr>
        <w:t>Improved rent collection</w:t>
      </w:r>
      <w:r w:rsidR="00B245C8" w:rsidRPr="00B245C8">
        <w:rPr>
          <w:rFonts w:ascii="Calibri" w:eastAsia="Calibri" w:hAnsi="Calibri" w:cs="Times New Roman"/>
          <w:lang w:eastAsia="en-US"/>
        </w:rPr>
        <w:t xml:space="preserve"> –</w:t>
      </w:r>
      <w:r>
        <w:rPr>
          <w:rFonts w:ascii="Calibri" w:eastAsia="Calibri" w:hAnsi="Calibri" w:cs="Times New Roman"/>
          <w:lang w:eastAsia="en-US"/>
        </w:rPr>
        <w:t xml:space="preserve"> </w:t>
      </w:r>
      <w:r w:rsidR="00B245C8" w:rsidRPr="00B245C8">
        <w:rPr>
          <w:rFonts w:ascii="Calibri" w:eastAsia="Calibri" w:hAnsi="Calibri" w:cs="Times New Roman"/>
          <w:lang w:eastAsia="en-US"/>
        </w:rPr>
        <w:t>Having focused on the experiences of the Universal Credit pilot organisations, we have now introduced direct debits as our preferred form of payment.  Although involving additional expense, we believe it will be the most effective means of controlling arrears in the future.</w:t>
      </w:r>
      <w:r w:rsidR="00B245C8" w:rsidRPr="00B245C8">
        <w:rPr>
          <w:rFonts w:ascii="Calibri" w:eastAsia="Calibri" w:hAnsi="Calibri" w:cs="Times New Roman"/>
          <w:b/>
          <w:lang w:eastAsia="en-US"/>
        </w:rPr>
        <w:t xml:space="preserve">  </w:t>
      </w:r>
      <w:r w:rsidRPr="00CD6812">
        <w:rPr>
          <w:rFonts w:ascii="Calibri" w:eastAsia="Calibri" w:hAnsi="Calibri" w:cs="Times New Roman"/>
          <w:lang w:eastAsia="en-US"/>
        </w:rPr>
        <w:t>We recognise that this is the major performance area that we need to make significant improvement.</w:t>
      </w:r>
    </w:p>
    <w:p w14:paraId="31CB6DF3" w14:textId="14879A76" w:rsidR="00B245C8" w:rsidRPr="00B245C8" w:rsidRDefault="00CD6812" w:rsidP="00B245C8">
      <w:pPr>
        <w:rPr>
          <w:rFonts w:ascii="Calibri" w:eastAsia="Calibri" w:hAnsi="Calibri" w:cs="Times New Roman"/>
          <w:lang w:eastAsia="en-US"/>
        </w:rPr>
      </w:pPr>
      <w:r>
        <w:rPr>
          <w:rFonts w:ascii="Calibri" w:eastAsia="Calibri" w:hAnsi="Calibri" w:cs="Times New Roman"/>
          <w:b/>
          <w:lang w:eastAsia="en-US"/>
        </w:rPr>
        <w:t xml:space="preserve">12.7 </w:t>
      </w:r>
      <w:r w:rsidR="00B245C8" w:rsidRPr="00B245C8">
        <w:rPr>
          <w:rFonts w:ascii="Calibri" w:eastAsia="Calibri" w:hAnsi="Calibri" w:cs="Times New Roman"/>
          <w:b/>
          <w:lang w:eastAsia="en-US"/>
        </w:rPr>
        <w:t>Financial Inclusion</w:t>
      </w:r>
      <w:r w:rsidR="00B245C8" w:rsidRPr="00B245C8">
        <w:rPr>
          <w:rFonts w:ascii="Calibri" w:eastAsia="Calibri" w:hAnsi="Calibri" w:cs="Times New Roman"/>
          <w:lang w:eastAsia="en-US"/>
        </w:rPr>
        <w:t xml:space="preserve"> – We continue to support our residents where they struggle to afford their homes.   We remain committed to focusing on rent collection rather than arrears collection and we will concentrate on initiatives to support residents to manage their money, to improve their financial circumstances and to increase their skills and employability where possible.  </w:t>
      </w:r>
    </w:p>
    <w:p w14:paraId="6445C091" w14:textId="77777777" w:rsidR="00B245C8" w:rsidRPr="00B245C8" w:rsidRDefault="00B245C8" w:rsidP="00B245C8">
      <w:pPr>
        <w:rPr>
          <w:rFonts w:ascii="Calibri" w:eastAsia="Calibri" w:hAnsi="Calibri" w:cs="Times New Roman"/>
          <w:lang w:eastAsia="en-US"/>
        </w:rPr>
      </w:pPr>
      <w:r w:rsidRPr="00B245C8">
        <w:rPr>
          <w:rFonts w:ascii="Calibri" w:eastAsia="Calibri" w:hAnsi="Calibri" w:cs="Times New Roman"/>
          <w:lang w:eastAsia="en-US"/>
        </w:rPr>
        <w:t xml:space="preserve">We have continued our SLA with the Law Centre for debt advice, which provides a significant return on our investment and provides considerable support for tenants often with multiple debt.  </w:t>
      </w:r>
    </w:p>
    <w:p w14:paraId="62F96AD7" w14:textId="77777777" w:rsidR="00B245C8" w:rsidRPr="00B245C8" w:rsidRDefault="00B245C8" w:rsidP="00B245C8">
      <w:pPr>
        <w:numPr>
          <w:ilvl w:val="0"/>
          <w:numId w:val="9"/>
        </w:numPr>
        <w:contextualSpacing/>
        <w:rPr>
          <w:rFonts w:ascii="Calibri" w:eastAsia="Calibri" w:hAnsi="Calibri" w:cs="Times New Roman"/>
          <w:b/>
          <w:lang w:eastAsia="en-US"/>
        </w:rPr>
      </w:pPr>
      <w:r w:rsidRPr="00B245C8">
        <w:rPr>
          <w:rFonts w:ascii="Calibri" w:eastAsia="Calibri" w:hAnsi="Calibri" w:cs="Times New Roman"/>
          <w:b/>
          <w:lang w:eastAsia="en-US"/>
        </w:rPr>
        <w:t>Summary</w:t>
      </w:r>
    </w:p>
    <w:p w14:paraId="1584B717" w14:textId="77777777" w:rsidR="00B245C8" w:rsidRPr="00B245C8" w:rsidRDefault="00B245C8" w:rsidP="00B245C8">
      <w:pPr>
        <w:contextualSpacing/>
        <w:rPr>
          <w:rFonts w:ascii="Calibri" w:eastAsia="Calibri" w:hAnsi="Calibri" w:cs="Times New Roman"/>
          <w:lang w:eastAsia="en-US"/>
        </w:rPr>
      </w:pPr>
    </w:p>
    <w:p w14:paraId="03A82EB0" w14:textId="1C194138" w:rsidR="00E8195A" w:rsidRPr="002B1C24" w:rsidRDefault="00B245C8">
      <w:pPr>
        <w:contextualSpacing/>
        <w:rPr>
          <w:rFonts w:ascii="Calibri" w:eastAsia="Calibri" w:hAnsi="Calibri" w:cs="Times New Roman"/>
          <w:lang w:eastAsia="en-US"/>
        </w:rPr>
        <w:sectPr w:rsidR="00E8195A" w:rsidRPr="002B1C24" w:rsidSect="006A4AF2">
          <w:pgSz w:w="11906" w:h="16838"/>
          <w:pgMar w:top="1440" w:right="1440" w:bottom="1440" w:left="1440" w:header="708" w:footer="708" w:gutter="0"/>
          <w:cols w:space="708"/>
          <w:docGrid w:linePitch="360"/>
        </w:sectPr>
      </w:pPr>
      <w:r w:rsidRPr="00B245C8">
        <w:rPr>
          <w:rFonts w:ascii="Calibri" w:eastAsia="Calibri" w:hAnsi="Calibri" w:cs="Times New Roman"/>
          <w:lang w:eastAsia="en-US"/>
        </w:rPr>
        <w:t>VHA remain committed to achieving high levels of efficiency and delivering best value for our resources.  We have made significant strides over the last three years in improving our processes and delivery, particularly in relation to procurement and repairs</w:t>
      </w:r>
      <w:r w:rsidR="002B1C24">
        <w:rPr>
          <w:rFonts w:ascii="Calibri" w:eastAsia="Calibri" w:hAnsi="Calibri" w:cs="Times New Roman"/>
          <w:lang w:eastAsia="en-US"/>
        </w:rPr>
        <w:t>.</w:t>
      </w:r>
    </w:p>
    <w:p w14:paraId="40D171CE" w14:textId="1BC9984E" w:rsidR="00E8195A" w:rsidRPr="00F03C59" w:rsidRDefault="00E8195A" w:rsidP="002B1C24">
      <w:pPr>
        <w:rPr>
          <w:b/>
        </w:rPr>
      </w:pPr>
    </w:p>
    <w:sectPr w:rsidR="00E8195A" w:rsidRPr="00F03C59" w:rsidSect="002B1C2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2BA"/>
    <w:multiLevelType w:val="multilevel"/>
    <w:tmpl w:val="4DE0F9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F53CDC"/>
    <w:multiLevelType w:val="hybridMultilevel"/>
    <w:tmpl w:val="067E8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F226F"/>
    <w:multiLevelType w:val="hybridMultilevel"/>
    <w:tmpl w:val="3C8C16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3A14C85"/>
    <w:multiLevelType w:val="multilevel"/>
    <w:tmpl w:val="610ECF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EC23F72"/>
    <w:multiLevelType w:val="hybridMultilevel"/>
    <w:tmpl w:val="5358ABFA"/>
    <w:lvl w:ilvl="0" w:tplc="9D8C74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625697"/>
    <w:multiLevelType w:val="multilevel"/>
    <w:tmpl w:val="63F8A50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6187D05"/>
    <w:multiLevelType w:val="hybridMultilevel"/>
    <w:tmpl w:val="5358ABFA"/>
    <w:lvl w:ilvl="0" w:tplc="9D8C7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42612"/>
    <w:multiLevelType w:val="hybridMultilevel"/>
    <w:tmpl w:val="6BD43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501D08"/>
    <w:multiLevelType w:val="hybridMultilevel"/>
    <w:tmpl w:val="C2166B40"/>
    <w:lvl w:ilvl="0" w:tplc="9D8C74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65457E"/>
    <w:multiLevelType w:val="multilevel"/>
    <w:tmpl w:val="519E97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033F73"/>
    <w:multiLevelType w:val="multilevel"/>
    <w:tmpl w:val="C77A265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
  </w:num>
  <w:num w:numId="3">
    <w:abstractNumId w:val="0"/>
  </w:num>
  <w:num w:numId="4">
    <w:abstractNumId w:val="10"/>
  </w:num>
  <w:num w:numId="5">
    <w:abstractNumId w:val="4"/>
  </w:num>
  <w:num w:numId="6">
    <w:abstractNumId w:val="1"/>
  </w:num>
  <w:num w:numId="7">
    <w:abstractNumId w:val="2"/>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13"/>
    <w:rsid w:val="00062C13"/>
    <w:rsid w:val="00081531"/>
    <w:rsid w:val="00085BF0"/>
    <w:rsid w:val="000A14B1"/>
    <w:rsid w:val="00143734"/>
    <w:rsid w:val="001818EC"/>
    <w:rsid w:val="002027E1"/>
    <w:rsid w:val="0020403A"/>
    <w:rsid w:val="00204AED"/>
    <w:rsid w:val="002209A1"/>
    <w:rsid w:val="00232D72"/>
    <w:rsid w:val="0023731E"/>
    <w:rsid w:val="0027633B"/>
    <w:rsid w:val="0029356E"/>
    <w:rsid w:val="002B1C24"/>
    <w:rsid w:val="002E1F46"/>
    <w:rsid w:val="003067D0"/>
    <w:rsid w:val="003328B3"/>
    <w:rsid w:val="00334384"/>
    <w:rsid w:val="00335D38"/>
    <w:rsid w:val="0035014E"/>
    <w:rsid w:val="00353537"/>
    <w:rsid w:val="003567E2"/>
    <w:rsid w:val="003758D2"/>
    <w:rsid w:val="003960B6"/>
    <w:rsid w:val="003A3653"/>
    <w:rsid w:val="0042548E"/>
    <w:rsid w:val="0045487E"/>
    <w:rsid w:val="00464CA8"/>
    <w:rsid w:val="00466736"/>
    <w:rsid w:val="0047287C"/>
    <w:rsid w:val="00491AF2"/>
    <w:rsid w:val="004C6200"/>
    <w:rsid w:val="004E1C3A"/>
    <w:rsid w:val="004F68B3"/>
    <w:rsid w:val="005362CA"/>
    <w:rsid w:val="00587702"/>
    <w:rsid w:val="005A2B70"/>
    <w:rsid w:val="005B02B8"/>
    <w:rsid w:val="005B72A0"/>
    <w:rsid w:val="005E2E91"/>
    <w:rsid w:val="00634636"/>
    <w:rsid w:val="00651325"/>
    <w:rsid w:val="0067098D"/>
    <w:rsid w:val="006A4AF2"/>
    <w:rsid w:val="006C1661"/>
    <w:rsid w:val="0074412D"/>
    <w:rsid w:val="00756047"/>
    <w:rsid w:val="00780710"/>
    <w:rsid w:val="008049CD"/>
    <w:rsid w:val="008915E5"/>
    <w:rsid w:val="008C01F9"/>
    <w:rsid w:val="008E240A"/>
    <w:rsid w:val="008E5B6B"/>
    <w:rsid w:val="008E5EEF"/>
    <w:rsid w:val="009311AC"/>
    <w:rsid w:val="009462A6"/>
    <w:rsid w:val="00953F72"/>
    <w:rsid w:val="00974636"/>
    <w:rsid w:val="00982ABE"/>
    <w:rsid w:val="00983EC1"/>
    <w:rsid w:val="00997430"/>
    <w:rsid w:val="009A17EF"/>
    <w:rsid w:val="009C2A00"/>
    <w:rsid w:val="009C3E0D"/>
    <w:rsid w:val="00A317BC"/>
    <w:rsid w:val="00A81563"/>
    <w:rsid w:val="00A926DD"/>
    <w:rsid w:val="00AA288F"/>
    <w:rsid w:val="00AB0882"/>
    <w:rsid w:val="00AD5A6B"/>
    <w:rsid w:val="00AF6F15"/>
    <w:rsid w:val="00B245C8"/>
    <w:rsid w:val="00B35E49"/>
    <w:rsid w:val="00B60E89"/>
    <w:rsid w:val="00B97C26"/>
    <w:rsid w:val="00BC2A44"/>
    <w:rsid w:val="00BF073D"/>
    <w:rsid w:val="00C15947"/>
    <w:rsid w:val="00C92A2C"/>
    <w:rsid w:val="00CD08F3"/>
    <w:rsid w:val="00CD4313"/>
    <w:rsid w:val="00CD6812"/>
    <w:rsid w:val="00D32FA3"/>
    <w:rsid w:val="00D564EA"/>
    <w:rsid w:val="00D56BD8"/>
    <w:rsid w:val="00D62956"/>
    <w:rsid w:val="00D70485"/>
    <w:rsid w:val="00D738B6"/>
    <w:rsid w:val="00DA381C"/>
    <w:rsid w:val="00DB3A7D"/>
    <w:rsid w:val="00DB7F0A"/>
    <w:rsid w:val="00DE5DE2"/>
    <w:rsid w:val="00E04644"/>
    <w:rsid w:val="00E17D5F"/>
    <w:rsid w:val="00E505D8"/>
    <w:rsid w:val="00E6397C"/>
    <w:rsid w:val="00E71E00"/>
    <w:rsid w:val="00E8195A"/>
    <w:rsid w:val="00EA03A3"/>
    <w:rsid w:val="00ED1AE0"/>
    <w:rsid w:val="00ED2757"/>
    <w:rsid w:val="00EE30EE"/>
    <w:rsid w:val="00F03C59"/>
    <w:rsid w:val="00F05D93"/>
    <w:rsid w:val="00F26ED4"/>
    <w:rsid w:val="00F72B22"/>
    <w:rsid w:val="00F8564C"/>
    <w:rsid w:val="00FC497E"/>
    <w:rsid w:val="00FD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8EAE"/>
  <w15:docId w15:val="{4D70B353-A9A4-419D-B75D-A272B912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E8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89"/>
    <w:rPr>
      <w:rFonts w:ascii="Tahoma" w:hAnsi="Tahoma" w:cs="Tahoma"/>
      <w:sz w:val="16"/>
      <w:szCs w:val="16"/>
    </w:rPr>
  </w:style>
  <w:style w:type="paragraph" w:styleId="ListParagraph">
    <w:name w:val="List Paragraph"/>
    <w:basedOn w:val="Normal"/>
    <w:uiPriority w:val="34"/>
    <w:qFormat/>
    <w:rsid w:val="005A2B70"/>
    <w:pPr>
      <w:ind w:left="720"/>
      <w:contextualSpacing/>
    </w:pPr>
  </w:style>
  <w:style w:type="paragraph" w:styleId="Caption">
    <w:name w:val="caption"/>
    <w:basedOn w:val="Normal"/>
    <w:next w:val="Normal"/>
    <w:uiPriority w:val="35"/>
    <w:unhideWhenUsed/>
    <w:qFormat/>
    <w:rsid w:val="004F68B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n\AppData\Roaming\Microsoft\Templates\Board%20Repor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Report Template .dotx</Template>
  <TotalTime>1629</TotalTime>
  <Pages>16</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Pearl</dc:creator>
  <cp:lastModifiedBy>Martyn Pearl</cp:lastModifiedBy>
  <cp:revision>11</cp:revision>
  <cp:lastPrinted>2018-08-10T11:42:00Z</cp:lastPrinted>
  <dcterms:created xsi:type="dcterms:W3CDTF">2019-07-16T13:23:00Z</dcterms:created>
  <dcterms:modified xsi:type="dcterms:W3CDTF">2019-07-24T14:18:00Z</dcterms:modified>
</cp:coreProperties>
</file>